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D5" w:rsidRDefault="002D7E7A" w:rsidP="00CE35BC">
      <w:pPr>
        <w:spacing w:after="0" w:line="240" w:lineRule="auto"/>
        <w:jc w:val="center"/>
        <w:rPr>
          <w:rFonts w:ascii="Times New Roman" w:hAnsi="Times New Roman" w:cs="Times New Roman"/>
          <w:b/>
          <w:sz w:val="24"/>
          <w:szCs w:val="24"/>
          <w:lang w:val="en-US"/>
        </w:rPr>
      </w:pPr>
      <w:r w:rsidRPr="001D044D">
        <w:rPr>
          <w:rFonts w:ascii="Times New Roman" w:hAnsi="Times New Roman" w:cs="Times New Roman"/>
          <w:b/>
          <w:sz w:val="24"/>
          <w:szCs w:val="24"/>
          <w:lang w:val="en-US"/>
        </w:rPr>
        <w:t xml:space="preserve">ANALISIS PERBANDINGAN KINERJA KEUANGAN PADA PERUSAHAAN </w:t>
      </w:r>
      <w:r w:rsidR="001E2FD5">
        <w:rPr>
          <w:rFonts w:ascii="Times New Roman" w:hAnsi="Times New Roman" w:cs="Times New Roman"/>
          <w:b/>
          <w:sz w:val="24"/>
          <w:szCs w:val="24"/>
        </w:rPr>
        <w:t xml:space="preserve">FARMASI TAHUN </w:t>
      </w:r>
      <w:r w:rsidR="001E2FD5">
        <w:rPr>
          <w:rFonts w:ascii="Times New Roman" w:hAnsi="Times New Roman" w:cs="Times New Roman"/>
          <w:b/>
          <w:sz w:val="24"/>
          <w:szCs w:val="24"/>
          <w:lang w:val="en-US"/>
        </w:rPr>
        <w:t>2019-2021</w:t>
      </w:r>
    </w:p>
    <w:p w:rsidR="00CE35BC" w:rsidRPr="001E2FD5" w:rsidRDefault="00CE35BC" w:rsidP="00CE35BC">
      <w:pPr>
        <w:spacing w:after="0" w:line="240" w:lineRule="auto"/>
        <w:jc w:val="center"/>
        <w:rPr>
          <w:rFonts w:ascii="Times New Roman" w:hAnsi="Times New Roman" w:cs="Times New Roman"/>
          <w:b/>
          <w:sz w:val="24"/>
          <w:szCs w:val="24"/>
        </w:rPr>
      </w:pPr>
    </w:p>
    <w:p w:rsidR="002D7E7A" w:rsidRPr="001D044D" w:rsidRDefault="002D7E7A" w:rsidP="00CE35BC">
      <w:pPr>
        <w:spacing w:after="0" w:line="240" w:lineRule="auto"/>
        <w:jc w:val="center"/>
        <w:rPr>
          <w:rFonts w:ascii="Times New Roman" w:hAnsi="Times New Roman" w:cs="Times New Roman"/>
          <w:sz w:val="24"/>
          <w:szCs w:val="24"/>
        </w:rPr>
      </w:pPr>
      <w:r w:rsidRPr="001D044D">
        <w:rPr>
          <w:rFonts w:ascii="Times New Roman" w:hAnsi="Times New Roman" w:cs="Times New Roman"/>
          <w:b/>
          <w:sz w:val="24"/>
          <w:szCs w:val="24"/>
        </w:rPr>
        <w:t>Renata</w:t>
      </w:r>
      <w:r w:rsidRPr="001D044D">
        <w:rPr>
          <w:rFonts w:ascii="Times New Roman" w:hAnsi="Times New Roman" w:cs="Times New Roman"/>
          <w:sz w:val="24"/>
          <w:szCs w:val="24"/>
        </w:rPr>
        <w:t xml:space="preserve"> </w:t>
      </w:r>
      <w:r w:rsidRPr="001D044D">
        <w:rPr>
          <w:rFonts w:ascii="Times New Roman" w:hAnsi="Times New Roman" w:cs="Times New Roman"/>
          <w:b/>
          <w:sz w:val="24"/>
          <w:szCs w:val="24"/>
        </w:rPr>
        <w:t>Maulita Wijaya</w:t>
      </w:r>
    </w:p>
    <w:p w:rsidR="002D7E7A" w:rsidRDefault="002D7E7A" w:rsidP="00CE35BC">
      <w:pPr>
        <w:spacing w:after="0" w:line="240" w:lineRule="auto"/>
        <w:jc w:val="center"/>
        <w:rPr>
          <w:rFonts w:ascii="Times New Roman" w:hAnsi="Times New Roman" w:cs="Times New Roman"/>
          <w:sz w:val="24"/>
          <w:szCs w:val="24"/>
        </w:rPr>
      </w:pPr>
      <w:r w:rsidRPr="001D044D">
        <w:rPr>
          <w:rFonts w:ascii="Times New Roman" w:hAnsi="Times New Roman" w:cs="Times New Roman"/>
          <w:sz w:val="24"/>
          <w:szCs w:val="24"/>
        </w:rPr>
        <w:t>Universitas 17 Agustus 1945 Surabaya</w:t>
      </w:r>
    </w:p>
    <w:p w:rsidR="00CE35BC" w:rsidRPr="001D044D" w:rsidRDefault="00CE35BC" w:rsidP="00CE35BC">
      <w:pPr>
        <w:spacing w:after="0" w:line="240" w:lineRule="auto"/>
        <w:jc w:val="center"/>
        <w:rPr>
          <w:rFonts w:ascii="Times New Roman" w:hAnsi="Times New Roman" w:cs="Times New Roman"/>
          <w:sz w:val="24"/>
          <w:szCs w:val="24"/>
          <w:vertAlign w:val="superscript"/>
        </w:rPr>
      </w:pPr>
    </w:p>
    <w:p w:rsidR="002D7E7A" w:rsidRPr="001D044D" w:rsidRDefault="002D7E7A" w:rsidP="00CE35BC">
      <w:pPr>
        <w:spacing w:after="0" w:line="240" w:lineRule="auto"/>
        <w:jc w:val="center"/>
        <w:rPr>
          <w:rFonts w:ascii="Times New Roman" w:hAnsi="Times New Roman" w:cs="Times New Roman"/>
          <w:b/>
          <w:sz w:val="24"/>
          <w:szCs w:val="24"/>
        </w:rPr>
      </w:pPr>
      <w:r w:rsidRPr="001D044D">
        <w:rPr>
          <w:rFonts w:ascii="Times New Roman" w:hAnsi="Times New Roman" w:cs="Times New Roman"/>
          <w:b/>
          <w:sz w:val="24"/>
          <w:szCs w:val="24"/>
        </w:rPr>
        <w:t>Maria Yuliana Postel</w:t>
      </w:r>
    </w:p>
    <w:p w:rsidR="002D7E7A" w:rsidRDefault="002D7E7A" w:rsidP="00CE35BC">
      <w:pPr>
        <w:spacing w:after="0" w:line="240" w:lineRule="auto"/>
        <w:jc w:val="center"/>
        <w:rPr>
          <w:rFonts w:ascii="Times New Roman" w:hAnsi="Times New Roman" w:cs="Times New Roman"/>
          <w:sz w:val="24"/>
          <w:szCs w:val="24"/>
        </w:rPr>
      </w:pPr>
      <w:r w:rsidRPr="001D044D">
        <w:rPr>
          <w:rFonts w:ascii="Times New Roman" w:hAnsi="Times New Roman" w:cs="Times New Roman"/>
          <w:sz w:val="24"/>
          <w:szCs w:val="24"/>
        </w:rPr>
        <w:t>Universitas 17 Agustus 1945 Surabaya</w:t>
      </w:r>
    </w:p>
    <w:p w:rsidR="00CE35BC" w:rsidRPr="001D044D" w:rsidRDefault="00CE35BC" w:rsidP="00CE35BC">
      <w:pPr>
        <w:spacing w:after="0" w:line="240" w:lineRule="auto"/>
        <w:jc w:val="center"/>
        <w:rPr>
          <w:rFonts w:ascii="Times New Roman" w:hAnsi="Times New Roman" w:cs="Times New Roman"/>
          <w:sz w:val="24"/>
          <w:szCs w:val="24"/>
          <w:vertAlign w:val="superscript"/>
        </w:rPr>
      </w:pPr>
    </w:p>
    <w:p w:rsidR="002D7E7A" w:rsidRPr="001D044D" w:rsidRDefault="002D7E7A" w:rsidP="00CE35BC">
      <w:pPr>
        <w:spacing w:after="0" w:line="240" w:lineRule="auto"/>
        <w:jc w:val="center"/>
        <w:rPr>
          <w:rFonts w:ascii="Times New Roman" w:hAnsi="Times New Roman" w:cs="Times New Roman"/>
          <w:b/>
          <w:sz w:val="24"/>
          <w:szCs w:val="24"/>
          <w:vertAlign w:val="superscript"/>
        </w:rPr>
      </w:pPr>
      <w:r w:rsidRPr="001D044D">
        <w:rPr>
          <w:rFonts w:ascii="Times New Roman" w:hAnsi="Times New Roman" w:cs="Times New Roman"/>
          <w:b/>
          <w:sz w:val="24"/>
          <w:szCs w:val="24"/>
        </w:rPr>
        <w:t>Anita Eka Pratiwi</w:t>
      </w:r>
    </w:p>
    <w:p w:rsidR="002D7E7A" w:rsidRDefault="002D7E7A" w:rsidP="00CE35BC">
      <w:pPr>
        <w:spacing w:after="0" w:line="240" w:lineRule="auto"/>
        <w:jc w:val="center"/>
        <w:rPr>
          <w:rFonts w:ascii="Times New Roman" w:hAnsi="Times New Roman" w:cs="Times New Roman"/>
          <w:sz w:val="24"/>
          <w:szCs w:val="24"/>
        </w:rPr>
      </w:pPr>
      <w:r w:rsidRPr="001D044D">
        <w:rPr>
          <w:rFonts w:ascii="Times New Roman" w:hAnsi="Times New Roman" w:cs="Times New Roman"/>
          <w:sz w:val="24"/>
          <w:szCs w:val="24"/>
        </w:rPr>
        <w:t>Universitas 17 Agustus 1945 Surabaya</w:t>
      </w:r>
    </w:p>
    <w:p w:rsidR="00CE35BC" w:rsidRPr="001D044D" w:rsidRDefault="00CE35BC" w:rsidP="00CE35BC">
      <w:pPr>
        <w:spacing w:after="0" w:line="240" w:lineRule="auto"/>
        <w:jc w:val="center"/>
        <w:rPr>
          <w:rFonts w:ascii="Times New Roman" w:hAnsi="Times New Roman" w:cs="Times New Roman"/>
          <w:sz w:val="24"/>
          <w:szCs w:val="24"/>
          <w:vertAlign w:val="superscript"/>
        </w:rPr>
      </w:pPr>
    </w:p>
    <w:p w:rsidR="002D7E7A" w:rsidRPr="001D044D" w:rsidRDefault="002D7E7A" w:rsidP="00CE35BC">
      <w:pPr>
        <w:spacing w:after="0" w:line="240" w:lineRule="auto"/>
        <w:jc w:val="center"/>
        <w:rPr>
          <w:rFonts w:ascii="Times New Roman" w:hAnsi="Times New Roman" w:cs="Times New Roman"/>
          <w:b/>
          <w:sz w:val="24"/>
          <w:szCs w:val="24"/>
          <w:vertAlign w:val="superscript"/>
        </w:rPr>
      </w:pPr>
      <w:r w:rsidRPr="001D044D">
        <w:rPr>
          <w:rFonts w:ascii="Times New Roman" w:hAnsi="Times New Roman" w:cs="Times New Roman"/>
          <w:b/>
          <w:sz w:val="24"/>
          <w:szCs w:val="24"/>
        </w:rPr>
        <w:t>Laila Putri Hidayati</w:t>
      </w:r>
    </w:p>
    <w:p w:rsidR="002D7E7A" w:rsidRDefault="002D7E7A" w:rsidP="00CE35BC">
      <w:pPr>
        <w:spacing w:after="0" w:line="240" w:lineRule="auto"/>
        <w:jc w:val="center"/>
        <w:rPr>
          <w:rFonts w:ascii="Times New Roman" w:hAnsi="Times New Roman" w:cs="Times New Roman"/>
          <w:sz w:val="24"/>
          <w:szCs w:val="24"/>
        </w:rPr>
      </w:pPr>
      <w:r w:rsidRPr="001D044D">
        <w:rPr>
          <w:rFonts w:ascii="Times New Roman" w:hAnsi="Times New Roman" w:cs="Times New Roman"/>
          <w:sz w:val="24"/>
          <w:szCs w:val="24"/>
        </w:rPr>
        <w:t>Universitas 17 Agustus 1945 Surabaya</w:t>
      </w:r>
    </w:p>
    <w:p w:rsidR="00CE35BC" w:rsidRPr="00B73A1D" w:rsidRDefault="00CE35BC" w:rsidP="00CE35BC">
      <w:pPr>
        <w:spacing w:after="0" w:line="240" w:lineRule="auto"/>
        <w:jc w:val="center"/>
        <w:rPr>
          <w:rFonts w:ascii="Times New Roman" w:hAnsi="Times New Roman" w:cs="Times New Roman"/>
          <w:sz w:val="24"/>
          <w:szCs w:val="24"/>
          <w:vertAlign w:val="superscript"/>
        </w:rPr>
      </w:pPr>
    </w:p>
    <w:p w:rsidR="00BB77EA" w:rsidRDefault="002D7E7A" w:rsidP="00CE35BC">
      <w:pPr>
        <w:spacing w:after="0" w:line="240" w:lineRule="auto"/>
        <w:jc w:val="center"/>
        <w:rPr>
          <w:rStyle w:val="Hyperlink"/>
          <w:rFonts w:ascii="Times New Roman" w:hAnsi="Times New Roman" w:cs="Times New Roman"/>
          <w:sz w:val="24"/>
          <w:szCs w:val="24"/>
        </w:rPr>
      </w:pPr>
      <w:r w:rsidRPr="001D044D">
        <w:rPr>
          <w:rFonts w:ascii="Times New Roman" w:hAnsi="Times New Roman" w:cs="Times New Roman"/>
          <w:i/>
          <w:sz w:val="24"/>
          <w:szCs w:val="24"/>
        </w:rPr>
        <w:t>Koresponden penulis</w:t>
      </w:r>
      <w:r w:rsidRPr="001D044D">
        <w:rPr>
          <w:rFonts w:ascii="Times New Roman" w:hAnsi="Times New Roman" w:cs="Times New Roman"/>
          <w:sz w:val="24"/>
          <w:szCs w:val="24"/>
        </w:rPr>
        <w:t xml:space="preserve"> : </w:t>
      </w:r>
      <w:hyperlink r:id="rId8" w:history="1">
        <w:r w:rsidRPr="001D044D">
          <w:rPr>
            <w:rStyle w:val="Hyperlink"/>
            <w:rFonts w:ascii="Times New Roman" w:hAnsi="Times New Roman" w:cs="Times New Roman"/>
            <w:sz w:val="24"/>
            <w:szCs w:val="24"/>
          </w:rPr>
          <w:t>renatamaulitawijaya@gmail.com</w:t>
        </w:r>
      </w:hyperlink>
    </w:p>
    <w:p w:rsidR="00CE35BC" w:rsidRPr="00634260" w:rsidRDefault="00CE35BC" w:rsidP="00CE35BC">
      <w:pPr>
        <w:spacing w:after="0" w:line="240" w:lineRule="auto"/>
        <w:jc w:val="center"/>
        <w:rPr>
          <w:rFonts w:ascii="Times New Roman" w:hAnsi="Times New Roman" w:cs="Times New Roman"/>
          <w:sz w:val="24"/>
          <w:szCs w:val="24"/>
        </w:rPr>
      </w:pPr>
    </w:p>
    <w:p w:rsidR="002D7E7A" w:rsidRPr="001D044D" w:rsidRDefault="00390012" w:rsidP="00634260">
      <w:pPr>
        <w:spacing w:after="0" w:line="360" w:lineRule="auto"/>
        <w:jc w:val="both"/>
        <w:rPr>
          <w:rFonts w:ascii="Times New Roman" w:eastAsia="Times New Roman" w:hAnsi="Times New Roman" w:cs="Times New Roman"/>
          <w:i/>
          <w:sz w:val="24"/>
          <w:szCs w:val="24"/>
        </w:rPr>
      </w:pPr>
      <w:r w:rsidRPr="001D044D">
        <w:rPr>
          <w:rFonts w:ascii="Times New Roman" w:eastAsia="Times New Roman" w:hAnsi="Times New Roman" w:cs="Times New Roman"/>
          <w:b/>
          <w:i/>
          <w:sz w:val="24"/>
          <w:szCs w:val="24"/>
        </w:rPr>
        <w:t>Abstract</w:t>
      </w:r>
      <w:r w:rsidRPr="001D044D">
        <w:rPr>
          <w:rFonts w:ascii="Times New Roman" w:eastAsia="Times New Roman" w:hAnsi="Times New Roman" w:cs="Times New Roman"/>
          <w:i/>
          <w:sz w:val="24"/>
          <w:szCs w:val="24"/>
        </w:rPr>
        <w:t xml:space="preserve">. </w:t>
      </w:r>
      <w:r w:rsidR="00465ECD" w:rsidRPr="00465ECD">
        <w:rPr>
          <w:rFonts w:ascii="Times New Roman" w:eastAsia="Times New Roman" w:hAnsi="Times New Roman" w:cs="Times New Roman"/>
          <w:i/>
          <w:sz w:val="24"/>
          <w:szCs w:val="24"/>
        </w:rPr>
        <w:t>To measure the success of the company, it is necessary to evaluate the company's financial performance assessment. So it is necessary to do an analysis, this analysis can be done by comparing financial figures with certain standards. This study aims to analyze the comparison of the financial performance of the companies PT Phapros Tbk, PT Herbal and Pharmaceutical Industries Sido Muncul Tbk, PT Merck Indonesia and PT Pyridam Farma Tbk in 2019-2021. The research was conducted based on financial data obtained from the company's official website. The type of data used is qualitative data. The data source in this study is secondary data, the data used are annual financial report data from PT Phapros Tbk, PT Jamu and Pharmaceutical Industries Sido Muncul Tbk, PT Merck Indonesia, PT Pyridam Farma Tbk.</w:t>
      </w:r>
    </w:p>
    <w:p w:rsidR="00BB77EA" w:rsidRPr="001D044D" w:rsidRDefault="002D7E7A" w:rsidP="00634260">
      <w:pPr>
        <w:spacing w:after="0" w:line="240" w:lineRule="auto"/>
        <w:jc w:val="both"/>
        <w:rPr>
          <w:rFonts w:ascii="Times New Roman" w:eastAsia="Times New Roman" w:hAnsi="Times New Roman" w:cs="Times New Roman"/>
          <w:i/>
          <w:sz w:val="24"/>
          <w:szCs w:val="24"/>
        </w:rPr>
      </w:pPr>
      <w:r w:rsidRPr="001D044D">
        <w:rPr>
          <w:rFonts w:ascii="Times New Roman" w:eastAsia="Times New Roman" w:hAnsi="Times New Roman" w:cs="Times New Roman"/>
          <w:b/>
          <w:i/>
          <w:sz w:val="24"/>
          <w:szCs w:val="24"/>
        </w:rPr>
        <w:t>Keywords</w:t>
      </w:r>
      <w:r w:rsidRPr="001D044D">
        <w:rPr>
          <w:rFonts w:ascii="Times New Roman" w:eastAsia="Times New Roman" w:hAnsi="Times New Roman" w:cs="Times New Roman"/>
          <w:i/>
          <w:sz w:val="24"/>
          <w:szCs w:val="24"/>
        </w:rPr>
        <w:t>: Financial performance, financial reports, financial ratios</w:t>
      </w:r>
    </w:p>
    <w:p w:rsidR="00BB77EA" w:rsidRPr="001D044D" w:rsidRDefault="00BB77EA" w:rsidP="00634260">
      <w:pPr>
        <w:spacing w:after="0" w:line="240" w:lineRule="auto"/>
        <w:jc w:val="both"/>
        <w:rPr>
          <w:rFonts w:ascii="Times New Roman" w:eastAsia="Times New Roman" w:hAnsi="Times New Roman" w:cs="Times New Roman"/>
          <w:sz w:val="24"/>
          <w:szCs w:val="24"/>
        </w:rPr>
      </w:pPr>
    </w:p>
    <w:p w:rsidR="002D7E7A" w:rsidRPr="001D044D" w:rsidRDefault="00390012" w:rsidP="00634260">
      <w:pPr>
        <w:spacing w:after="0" w:line="360" w:lineRule="auto"/>
        <w:jc w:val="both"/>
        <w:rPr>
          <w:rFonts w:ascii="Times New Roman" w:hAnsi="Times New Roman" w:cs="Times New Roman"/>
          <w:sz w:val="24"/>
          <w:szCs w:val="24"/>
        </w:rPr>
      </w:pPr>
      <w:r w:rsidRPr="001D044D">
        <w:rPr>
          <w:rFonts w:ascii="Times New Roman" w:eastAsia="Times New Roman" w:hAnsi="Times New Roman" w:cs="Times New Roman"/>
          <w:b/>
          <w:sz w:val="24"/>
          <w:szCs w:val="24"/>
        </w:rPr>
        <w:t>Abstrak</w:t>
      </w:r>
      <w:r w:rsidRPr="001D044D">
        <w:rPr>
          <w:rFonts w:ascii="Times New Roman" w:eastAsia="Times New Roman" w:hAnsi="Times New Roman" w:cs="Times New Roman"/>
          <w:sz w:val="24"/>
          <w:szCs w:val="24"/>
        </w:rPr>
        <w:t xml:space="preserve">. </w:t>
      </w:r>
      <w:r w:rsidR="002D7E7A" w:rsidRPr="001D044D">
        <w:rPr>
          <w:rFonts w:ascii="Times New Roman" w:hAnsi="Times New Roman" w:cs="Times New Roman"/>
          <w:sz w:val="24"/>
          <w:szCs w:val="24"/>
          <w:lang w:val="en-US"/>
        </w:rPr>
        <w:t>Untuk mengukur k</w:t>
      </w:r>
      <w:r w:rsidR="002D7E7A" w:rsidRPr="001D044D">
        <w:rPr>
          <w:rFonts w:ascii="Times New Roman" w:hAnsi="Times New Roman" w:cs="Times New Roman"/>
          <w:sz w:val="24"/>
          <w:szCs w:val="24"/>
        </w:rPr>
        <w:t xml:space="preserve">eberhasilan perusahaan, maka </w:t>
      </w:r>
      <w:r w:rsidR="002D7E7A" w:rsidRPr="001D044D">
        <w:rPr>
          <w:rFonts w:ascii="Times New Roman" w:hAnsi="Times New Roman" w:cs="Times New Roman"/>
          <w:sz w:val="24"/>
          <w:szCs w:val="24"/>
          <w:lang w:val="en-US"/>
        </w:rPr>
        <w:t>perlu</w:t>
      </w:r>
      <w:r w:rsidR="002D7E7A" w:rsidRPr="001D044D">
        <w:rPr>
          <w:rFonts w:ascii="Times New Roman" w:hAnsi="Times New Roman" w:cs="Times New Roman"/>
          <w:sz w:val="24"/>
          <w:szCs w:val="24"/>
        </w:rPr>
        <w:t xml:space="preserve"> </w:t>
      </w:r>
      <w:r w:rsidR="002D7E7A" w:rsidRPr="001D044D">
        <w:rPr>
          <w:rFonts w:ascii="Times New Roman" w:hAnsi="Times New Roman" w:cs="Times New Roman"/>
          <w:sz w:val="24"/>
          <w:szCs w:val="24"/>
          <w:lang w:val="en-US"/>
        </w:rPr>
        <w:t xml:space="preserve">dilakukan </w:t>
      </w:r>
      <w:r w:rsidR="002D7E7A" w:rsidRPr="001D044D">
        <w:rPr>
          <w:rFonts w:ascii="Times New Roman" w:hAnsi="Times New Roman" w:cs="Times New Roman"/>
          <w:sz w:val="24"/>
          <w:szCs w:val="24"/>
        </w:rPr>
        <w:t xml:space="preserve">evaluasi </w:t>
      </w:r>
      <w:r w:rsidR="002D7E7A" w:rsidRPr="001D044D">
        <w:rPr>
          <w:rFonts w:ascii="Times New Roman" w:hAnsi="Times New Roman" w:cs="Times New Roman"/>
          <w:sz w:val="24"/>
          <w:szCs w:val="24"/>
          <w:lang w:val="en-US"/>
        </w:rPr>
        <w:t>penilaian</w:t>
      </w:r>
      <w:r w:rsidR="002D7E7A" w:rsidRPr="001D044D">
        <w:rPr>
          <w:rFonts w:ascii="Times New Roman" w:hAnsi="Times New Roman" w:cs="Times New Roman"/>
          <w:sz w:val="24"/>
          <w:szCs w:val="24"/>
        </w:rPr>
        <w:t xml:space="preserve"> kinerja keuangan perusahaan</w:t>
      </w:r>
      <w:r w:rsidR="002D7E7A" w:rsidRPr="001D044D">
        <w:rPr>
          <w:rFonts w:ascii="Times New Roman" w:hAnsi="Times New Roman" w:cs="Times New Roman"/>
          <w:sz w:val="24"/>
          <w:szCs w:val="24"/>
          <w:lang w:val="en-US"/>
        </w:rPr>
        <w:t xml:space="preserve">. </w:t>
      </w:r>
      <w:r w:rsidR="00E57B90">
        <w:rPr>
          <w:rStyle w:val="markedcontent"/>
          <w:rFonts w:ascii="Times New Roman" w:hAnsi="Times New Roman" w:cs="Times New Roman"/>
          <w:sz w:val="24"/>
          <w:szCs w:val="24"/>
        </w:rPr>
        <w:t xml:space="preserve">Sehingga </w:t>
      </w:r>
      <w:r w:rsidR="002D7E7A" w:rsidRPr="001D044D">
        <w:rPr>
          <w:rStyle w:val="markedcontent"/>
          <w:rFonts w:ascii="Times New Roman" w:hAnsi="Times New Roman" w:cs="Times New Roman"/>
          <w:sz w:val="24"/>
          <w:szCs w:val="24"/>
          <w:lang w:val="en-US"/>
        </w:rPr>
        <w:t>pe</w:t>
      </w:r>
      <w:r w:rsidR="00E57B90">
        <w:rPr>
          <w:rStyle w:val="markedcontent"/>
          <w:rFonts w:ascii="Times New Roman" w:hAnsi="Times New Roman" w:cs="Times New Roman"/>
          <w:sz w:val="24"/>
          <w:szCs w:val="24"/>
          <w:lang w:val="en-US"/>
        </w:rPr>
        <w:t>rlu dilakukan sebuah analisis</w:t>
      </w:r>
      <w:r w:rsidR="00E57B90">
        <w:rPr>
          <w:rStyle w:val="markedcontent"/>
          <w:rFonts w:ascii="Times New Roman" w:hAnsi="Times New Roman" w:cs="Times New Roman"/>
          <w:sz w:val="24"/>
          <w:szCs w:val="24"/>
        </w:rPr>
        <w:t>, a</w:t>
      </w:r>
      <w:r w:rsidR="002D7E7A" w:rsidRPr="001D044D">
        <w:rPr>
          <w:rStyle w:val="markedcontent"/>
          <w:rFonts w:ascii="Times New Roman" w:hAnsi="Times New Roman" w:cs="Times New Roman"/>
          <w:sz w:val="24"/>
          <w:szCs w:val="24"/>
          <w:lang w:val="en-US"/>
        </w:rPr>
        <w:t xml:space="preserve">nalisis </w:t>
      </w:r>
      <w:r w:rsidR="002D7E7A" w:rsidRPr="001D044D">
        <w:rPr>
          <w:rStyle w:val="markedcontent"/>
          <w:rFonts w:ascii="Times New Roman" w:hAnsi="Times New Roman" w:cs="Times New Roman"/>
          <w:sz w:val="24"/>
          <w:szCs w:val="24"/>
        </w:rPr>
        <w:t>ini</w:t>
      </w:r>
      <w:r w:rsidR="002D7E7A" w:rsidRPr="001D044D">
        <w:rPr>
          <w:rStyle w:val="markedcontent"/>
          <w:rFonts w:ascii="Times New Roman" w:hAnsi="Times New Roman" w:cs="Times New Roman"/>
          <w:sz w:val="24"/>
          <w:szCs w:val="24"/>
          <w:lang w:val="en-US"/>
        </w:rPr>
        <w:t xml:space="preserve"> </w:t>
      </w:r>
      <w:r w:rsidR="002D7E7A" w:rsidRPr="001D044D">
        <w:rPr>
          <w:rStyle w:val="markedcontent"/>
          <w:rFonts w:ascii="Times New Roman" w:hAnsi="Times New Roman" w:cs="Times New Roman"/>
          <w:sz w:val="24"/>
          <w:szCs w:val="24"/>
        </w:rPr>
        <w:t>dapat</w:t>
      </w:r>
      <w:r w:rsidR="002D7E7A" w:rsidRPr="001D044D">
        <w:rPr>
          <w:rStyle w:val="markedcontent"/>
          <w:rFonts w:ascii="Times New Roman" w:hAnsi="Times New Roman" w:cs="Times New Roman"/>
          <w:sz w:val="24"/>
          <w:szCs w:val="24"/>
          <w:lang w:val="en-US"/>
        </w:rPr>
        <w:t xml:space="preserve"> dilakukan dengan mem</w:t>
      </w:r>
      <w:r w:rsidR="002D7E7A" w:rsidRPr="001D044D">
        <w:rPr>
          <w:rStyle w:val="markedcontent"/>
          <w:rFonts w:ascii="Times New Roman" w:hAnsi="Times New Roman" w:cs="Times New Roman"/>
          <w:sz w:val="24"/>
          <w:szCs w:val="24"/>
        </w:rPr>
        <w:t xml:space="preserve">bandingkan </w:t>
      </w:r>
      <w:r w:rsidR="002D7E7A" w:rsidRPr="001D044D">
        <w:rPr>
          <w:rStyle w:val="markedcontent"/>
          <w:rFonts w:ascii="Times New Roman" w:hAnsi="Times New Roman" w:cs="Times New Roman"/>
          <w:sz w:val="24"/>
          <w:szCs w:val="24"/>
          <w:lang w:val="en-US"/>
        </w:rPr>
        <w:t>angka-angka keuangan dengan standar tertentu</w:t>
      </w:r>
      <w:r w:rsidR="00E57B90">
        <w:rPr>
          <w:rStyle w:val="markedcontent"/>
          <w:rFonts w:ascii="Times New Roman" w:hAnsi="Times New Roman" w:cs="Times New Roman"/>
          <w:sz w:val="24"/>
          <w:szCs w:val="24"/>
        </w:rPr>
        <w:t xml:space="preserve">. </w:t>
      </w:r>
      <w:r w:rsidR="002D7E7A" w:rsidRPr="001D044D">
        <w:rPr>
          <w:rFonts w:ascii="Times New Roman" w:hAnsi="Times New Roman" w:cs="Times New Roman"/>
          <w:sz w:val="24"/>
          <w:szCs w:val="24"/>
        </w:rPr>
        <w:t>Penelitian ini bertujuan untuk mengana</w:t>
      </w:r>
      <w:r w:rsidR="00E57B90">
        <w:rPr>
          <w:rFonts w:ascii="Times New Roman" w:hAnsi="Times New Roman" w:cs="Times New Roman"/>
          <w:sz w:val="24"/>
          <w:szCs w:val="24"/>
        </w:rPr>
        <w:t>lis p</w:t>
      </w:r>
      <w:r w:rsidR="002D7E7A" w:rsidRPr="001D044D">
        <w:rPr>
          <w:rFonts w:ascii="Times New Roman" w:hAnsi="Times New Roman" w:cs="Times New Roman"/>
          <w:sz w:val="24"/>
          <w:szCs w:val="24"/>
        </w:rPr>
        <w:t>erbandingan kinerja keuangan pada perusahaan PT Phapros Tbk, PT Industri jamu dan Farmasi Sido Muncul Tbk, PT Merck Indonesia dan PT Pyridam Farma Tbk pada tahun 2019-2021. Penelitian</w:t>
      </w:r>
      <w:r w:rsidR="002D7E7A" w:rsidRPr="001D044D">
        <w:rPr>
          <w:rFonts w:ascii="Times New Roman" w:hAnsi="Times New Roman" w:cs="Times New Roman"/>
          <w:sz w:val="24"/>
          <w:szCs w:val="24"/>
          <w:lang w:val="en-US"/>
        </w:rPr>
        <w:t xml:space="preserve"> </w:t>
      </w:r>
      <w:r w:rsidR="002D7E7A" w:rsidRPr="001D044D">
        <w:rPr>
          <w:rFonts w:ascii="Times New Roman" w:hAnsi="Times New Roman" w:cs="Times New Roman"/>
          <w:sz w:val="24"/>
          <w:szCs w:val="24"/>
        </w:rPr>
        <w:t>dila</w:t>
      </w:r>
      <w:r w:rsidR="002D7E7A" w:rsidRPr="001D044D">
        <w:rPr>
          <w:rFonts w:ascii="Times New Roman" w:hAnsi="Times New Roman" w:cs="Times New Roman"/>
          <w:sz w:val="24"/>
          <w:szCs w:val="24"/>
          <w:lang w:val="en-US"/>
        </w:rPr>
        <w:t xml:space="preserve">kukan berdasarkan data-data keuangan yang diperoleh dari situs </w:t>
      </w:r>
      <w:r w:rsidR="002D7E7A" w:rsidRPr="001D044D">
        <w:rPr>
          <w:rFonts w:ascii="Times New Roman" w:hAnsi="Times New Roman" w:cs="Times New Roman"/>
          <w:sz w:val="24"/>
          <w:szCs w:val="24"/>
        </w:rPr>
        <w:t xml:space="preserve">web </w:t>
      </w:r>
      <w:r w:rsidR="002D7E7A" w:rsidRPr="001D044D">
        <w:rPr>
          <w:rFonts w:ascii="Times New Roman" w:hAnsi="Times New Roman" w:cs="Times New Roman"/>
          <w:sz w:val="24"/>
          <w:szCs w:val="24"/>
          <w:lang w:val="en-US"/>
        </w:rPr>
        <w:t xml:space="preserve">resmi </w:t>
      </w:r>
      <w:r w:rsidR="002D7E7A" w:rsidRPr="001D044D">
        <w:rPr>
          <w:rFonts w:ascii="Times New Roman" w:hAnsi="Times New Roman" w:cs="Times New Roman"/>
          <w:sz w:val="24"/>
          <w:szCs w:val="24"/>
        </w:rPr>
        <w:t xml:space="preserve">perusahaan. Jenis data yang digunakan adalah data kualitatif. Sumber data dalam penelitian </w:t>
      </w:r>
      <w:bookmarkStart w:id="0" w:name="_GoBack"/>
      <w:bookmarkEnd w:id="0"/>
      <w:r w:rsidR="002D7E7A" w:rsidRPr="001D044D">
        <w:rPr>
          <w:rFonts w:ascii="Times New Roman" w:hAnsi="Times New Roman" w:cs="Times New Roman"/>
          <w:sz w:val="24"/>
          <w:szCs w:val="24"/>
        </w:rPr>
        <w:t xml:space="preserve">ini adalah data sekunder, data yang digunakan adalah data </w:t>
      </w:r>
      <w:r w:rsidR="002D7E7A" w:rsidRPr="001D044D">
        <w:rPr>
          <w:rFonts w:ascii="Times New Roman" w:hAnsi="Times New Roman" w:cs="Times New Roman"/>
          <w:sz w:val="24"/>
          <w:szCs w:val="24"/>
        </w:rPr>
        <w:lastRenderedPageBreak/>
        <w:t>laporan keuangan tahunan dari PT Phapros Tbk, PT Industri Jamu dan Farmasi Sido Muncul Tbk, PT Merck Indonesia, PT Pyridam Farma Tbk.</w:t>
      </w:r>
    </w:p>
    <w:p w:rsidR="00BB77EA" w:rsidRPr="00A30E0B" w:rsidRDefault="002D7E7A" w:rsidP="00634260">
      <w:pPr>
        <w:spacing w:after="0" w:line="360" w:lineRule="auto"/>
        <w:jc w:val="both"/>
        <w:rPr>
          <w:rFonts w:ascii="Times New Roman" w:hAnsi="Times New Roman" w:cs="Times New Roman"/>
          <w:i/>
          <w:iCs/>
          <w:sz w:val="24"/>
          <w:szCs w:val="24"/>
        </w:rPr>
      </w:pPr>
      <w:r w:rsidRPr="001D044D">
        <w:rPr>
          <w:rFonts w:ascii="Times New Roman" w:hAnsi="Times New Roman" w:cs="Times New Roman"/>
          <w:b/>
          <w:bCs/>
          <w:sz w:val="24"/>
          <w:szCs w:val="24"/>
          <w:lang w:val="en-US"/>
        </w:rPr>
        <w:t>Kata kunci</w:t>
      </w:r>
      <w:r w:rsidRPr="001D044D">
        <w:rPr>
          <w:rFonts w:ascii="Times New Roman" w:hAnsi="Times New Roman" w:cs="Times New Roman"/>
          <w:sz w:val="24"/>
          <w:szCs w:val="24"/>
          <w:lang w:val="en-US"/>
        </w:rPr>
        <w:t xml:space="preserve"> : </w:t>
      </w:r>
      <w:r w:rsidRPr="001D044D">
        <w:rPr>
          <w:rFonts w:ascii="Times New Roman" w:hAnsi="Times New Roman" w:cs="Times New Roman"/>
          <w:i/>
          <w:iCs/>
          <w:sz w:val="24"/>
          <w:szCs w:val="24"/>
          <w:lang w:val="en-US"/>
        </w:rPr>
        <w:t>Kinerja keuangan, laporan keuangan, rasio keuangan</w:t>
      </w:r>
    </w:p>
    <w:p w:rsidR="00BB77EA" w:rsidRPr="001D044D" w:rsidRDefault="00BB77EA" w:rsidP="00634260">
      <w:pPr>
        <w:spacing w:after="0" w:line="240" w:lineRule="auto"/>
        <w:ind w:right="284"/>
        <w:rPr>
          <w:rFonts w:ascii="Times New Roman" w:eastAsia="Times New Roman" w:hAnsi="Times New Roman" w:cs="Times New Roman"/>
          <w:b/>
          <w:sz w:val="24"/>
          <w:szCs w:val="24"/>
        </w:rPr>
      </w:pPr>
    </w:p>
    <w:p w:rsidR="00BB77EA" w:rsidRPr="001D044D" w:rsidRDefault="00390012" w:rsidP="00634260">
      <w:pPr>
        <w:spacing w:after="0" w:line="360" w:lineRule="auto"/>
        <w:ind w:right="284"/>
        <w:rPr>
          <w:rFonts w:ascii="Times New Roman" w:eastAsia="Times New Roman" w:hAnsi="Times New Roman" w:cs="Times New Roman"/>
          <w:b/>
          <w:sz w:val="24"/>
          <w:szCs w:val="24"/>
        </w:rPr>
      </w:pPr>
      <w:r w:rsidRPr="001D044D">
        <w:rPr>
          <w:rFonts w:ascii="Times New Roman" w:eastAsia="Times New Roman" w:hAnsi="Times New Roman" w:cs="Times New Roman"/>
          <w:b/>
          <w:sz w:val="24"/>
          <w:szCs w:val="24"/>
        </w:rPr>
        <w:t>LATAR BELAKANG</w:t>
      </w:r>
    </w:p>
    <w:p w:rsidR="002D7E7A" w:rsidRPr="001D044D" w:rsidRDefault="002D7E7A" w:rsidP="00634260">
      <w:pPr>
        <w:spacing w:after="0" w:line="360" w:lineRule="auto"/>
        <w:ind w:firstLine="360"/>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Untuk mengetahui keberhasilan suatu perusahaan, perusahaan perlu melakukan evaluasi kinerja. Penilaian kinerja y</w:t>
      </w:r>
      <w:r w:rsidR="00A30E0B">
        <w:rPr>
          <w:rFonts w:ascii="Times New Roman" w:hAnsi="Times New Roman" w:cs="Times New Roman"/>
          <w:sz w:val="24"/>
          <w:szCs w:val="24"/>
        </w:rPr>
        <w:t>an</w:t>
      </w:r>
      <w:r w:rsidRPr="001D044D">
        <w:rPr>
          <w:rFonts w:ascii="Times New Roman" w:hAnsi="Times New Roman" w:cs="Times New Roman"/>
          <w:sz w:val="24"/>
          <w:szCs w:val="24"/>
          <w:lang w:val="en-US"/>
        </w:rPr>
        <w:t xml:space="preserve">g dilakukan bisa dievaluasi melalui laporan keuangan perusahaan setiap periode. Laporan keuangan adalah catatan kabar keuangan suatu perusahaan, termasuk seluruh transaksi </w:t>
      </w:r>
      <w:r w:rsidR="00A30E0B" w:rsidRPr="001D044D">
        <w:rPr>
          <w:rFonts w:ascii="Times New Roman" w:hAnsi="Times New Roman" w:cs="Times New Roman"/>
          <w:sz w:val="24"/>
          <w:szCs w:val="24"/>
          <w:lang w:val="en-US"/>
        </w:rPr>
        <w:t>y</w:t>
      </w:r>
      <w:r w:rsidR="00A30E0B">
        <w:rPr>
          <w:rFonts w:ascii="Times New Roman" w:hAnsi="Times New Roman" w:cs="Times New Roman"/>
          <w:sz w:val="24"/>
          <w:szCs w:val="24"/>
        </w:rPr>
        <w:t>an</w:t>
      </w:r>
      <w:r w:rsidR="00A30E0B" w:rsidRPr="001D044D">
        <w:rPr>
          <w:rFonts w:ascii="Times New Roman" w:hAnsi="Times New Roman" w:cs="Times New Roman"/>
          <w:sz w:val="24"/>
          <w:szCs w:val="24"/>
          <w:lang w:val="en-US"/>
        </w:rPr>
        <w:t xml:space="preserve">g </w:t>
      </w:r>
      <w:r w:rsidRPr="001D044D">
        <w:rPr>
          <w:rFonts w:ascii="Times New Roman" w:hAnsi="Times New Roman" w:cs="Times New Roman"/>
          <w:sz w:val="24"/>
          <w:szCs w:val="24"/>
          <w:lang w:val="en-US"/>
        </w:rPr>
        <w:t>terjadi pada usaha dalam suatu periode tertentu. Pencatatan ini dipakai buat mendeskripsikan kinerja perusahaan.</w:t>
      </w:r>
    </w:p>
    <w:p w:rsidR="002D7E7A" w:rsidRPr="001D044D" w:rsidRDefault="002D7E7A" w:rsidP="00634260">
      <w:pPr>
        <w:spacing w:after="0" w:line="360" w:lineRule="auto"/>
        <w:ind w:firstLine="360"/>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 xml:space="preserve">Penilaian kinerja keuangan perusahaan kebanyakan memakai teknik “analisis rasio keuangan”. Analisis terhadap laporan keuangan suatu perusahaan dalam dasarnya lantaran ingin mengetahui taraf profitabilitas (keuntungan) &amp; taraf risiko. Dengan memakai analisis rasio keuangan, akan bisa diketahui berapa taraf likuiditas, solvabilitas, aktivitas, &amp; profitabilitas </w:t>
      </w:r>
      <w:r w:rsidR="00A30E0B" w:rsidRPr="001D044D">
        <w:rPr>
          <w:rFonts w:ascii="Times New Roman" w:hAnsi="Times New Roman" w:cs="Times New Roman"/>
          <w:sz w:val="24"/>
          <w:szCs w:val="24"/>
          <w:lang w:val="en-US"/>
        </w:rPr>
        <w:t>y</w:t>
      </w:r>
      <w:r w:rsidR="00A30E0B">
        <w:rPr>
          <w:rFonts w:ascii="Times New Roman" w:hAnsi="Times New Roman" w:cs="Times New Roman"/>
          <w:sz w:val="24"/>
          <w:szCs w:val="24"/>
        </w:rPr>
        <w:t>an</w:t>
      </w:r>
      <w:r w:rsidR="00A30E0B" w:rsidRPr="001D044D">
        <w:rPr>
          <w:rFonts w:ascii="Times New Roman" w:hAnsi="Times New Roman" w:cs="Times New Roman"/>
          <w:sz w:val="24"/>
          <w:szCs w:val="24"/>
          <w:lang w:val="en-US"/>
        </w:rPr>
        <w:t xml:space="preserve">g </w:t>
      </w:r>
      <w:r w:rsidRPr="001D044D">
        <w:rPr>
          <w:rFonts w:ascii="Times New Roman" w:hAnsi="Times New Roman" w:cs="Times New Roman"/>
          <w:sz w:val="24"/>
          <w:szCs w:val="24"/>
          <w:lang w:val="en-US"/>
        </w:rPr>
        <w:t xml:space="preserve">dimiliki sang suatu perusahaan. </w:t>
      </w:r>
      <w:r w:rsidR="00E57B90">
        <w:rPr>
          <w:rFonts w:ascii="Times New Roman" w:hAnsi="Times New Roman" w:cs="Times New Roman"/>
          <w:sz w:val="24"/>
          <w:szCs w:val="24"/>
        </w:rPr>
        <w:t>Dan</w:t>
      </w:r>
      <w:r w:rsidRPr="001D044D">
        <w:rPr>
          <w:rFonts w:ascii="Times New Roman" w:hAnsi="Times New Roman" w:cs="Times New Roman"/>
          <w:sz w:val="24"/>
          <w:szCs w:val="24"/>
          <w:lang w:val="en-US"/>
        </w:rPr>
        <w:t xml:space="preserve"> ju</w:t>
      </w:r>
      <w:r w:rsidR="00E57B90">
        <w:rPr>
          <w:rFonts w:ascii="Times New Roman" w:hAnsi="Times New Roman" w:cs="Times New Roman"/>
          <w:sz w:val="24"/>
          <w:szCs w:val="24"/>
        </w:rPr>
        <w:t>g</w:t>
      </w:r>
      <w:r w:rsidRPr="001D044D">
        <w:rPr>
          <w:rFonts w:ascii="Times New Roman" w:hAnsi="Times New Roman" w:cs="Times New Roman"/>
          <w:sz w:val="24"/>
          <w:szCs w:val="24"/>
          <w:lang w:val="en-US"/>
        </w:rPr>
        <w:t xml:space="preserve">a digunakan buat perkiraan tentang kesulitan keuangan </w:t>
      </w:r>
      <w:r w:rsidR="00A30E0B" w:rsidRPr="001D044D">
        <w:rPr>
          <w:rFonts w:ascii="Times New Roman" w:hAnsi="Times New Roman" w:cs="Times New Roman"/>
          <w:sz w:val="24"/>
          <w:szCs w:val="24"/>
          <w:lang w:val="en-US"/>
        </w:rPr>
        <w:t>y</w:t>
      </w:r>
      <w:r w:rsidR="00A30E0B">
        <w:rPr>
          <w:rFonts w:ascii="Times New Roman" w:hAnsi="Times New Roman" w:cs="Times New Roman"/>
          <w:sz w:val="24"/>
          <w:szCs w:val="24"/>
        </w:rPr>
        <w:t>an</w:t>
      </w:r>
      <w:r w:rsidR="00A30E0B" w:rsidRPr="001D044D">
        <w:rPr>
          <w:rFonts w:ascii="Times New Roman" w:hAnsi="Times New Roman" w:cs="Times New Roman"/>
          <w:sz w:val="24"/>
          <w:szCs w:val="24"/>
          <w:lang w:val="en-US"/>
        </w:rPr>
        <w:t xml:space="preserve">g </w:t>
      </w:r>
      <w:r w:rsidRPr="001D044D">
        <w:rPr>
          <w:rFonts w:ascii="Times New Roman" w:hAnsi="Times New Roman" w:cs="Times New Roman"/>
          <w:sz w:val="24"/>
          <w:szCs w:val="24"/>
          <w:lang w:val="en-US"/>
        </w:rPr>
        <w:t>akan dihadapi perusahaan, output operasi, keadaan keuangan perusahaan waktu ini &amp; dalam masa mendatang, dan menjadi acuan bagi pemakai kabar tentang kinerja masa kemudian &amp; masa mendatang perusahaan.</w:t>
      </w:r>
    </w:p>
    <w:p w:rsidR="002D7E7A" w:rsidRPr="001D044D" w:rsidRDefault="002D7E7A" w:rsidP="00634260">
      <w:pPr>
        <w:spacing w:after="0" w:line="360" w:lineRule="auto"/>
        <w:ind w:firstLine="360"/>
        <w:jc w:val="both"/>
        <w:rPr>
          <w:rFonts w:ascii="Times New Roman" w:hAnsi="Times New Roman" w:cs="Times New Roman"/>
          <w:sz w:val="24"/>
          <w:szCs w:val="24"/>
        </w:rPr>
      </w:pPr>
      <w:r w:rsidRPr="001D044D">
        <w:rPr>
          <w:rFonts w:ascii="Times New Roman" w:hAnsi="Times New Roman" w:cs="Times New Roman"/>
          <w:sz w:val="24"/>
          <w:szCs w:val="24"/>
          <w:lang w:val="en-US"/>
        </w:rPr>
        <w:t xml:space="preserve">Penelitian </w:t>
      </w:r>
      <w:r w:rsidR="00A30E0B" w:rsidRPr="001D044D">
        <w:rPr>
          <w:rFonts w:ascii="Times New Roman" w:hAnsi="Times New Roman" w:cs="Times New Roman"/>
          <w:sz w:val="24"/>
          <w:szCs w:val="24"/>
          <w:lang w:val="en-US"/>
        </w:rPr>
        <w:t>y</w:t>
      </w:r>
      <w:r w:rsidR="00A30E0B">
        <w:rPr>
          <w:rFonts w:ascii="Times New Roman" w:hAnsi="Times New Roman" w:cs="Times New Roman"/>
          <w:sz w:val="24"/>
          <w:szCs w:val="24"/>
        </w:rPr>
        <w:t>an</w:t>
      </w:r>
      <w:r w:rsidR="00A30E0B" w:rsidRPr="001D044D">
        <w:rPr>
          <w:rFonts w:ascii="Times New Roman" w:hAnsi="Times New Roman" w:cs="Times New Roman"/>
          <w:sz w:val="24"/>
          <w:szCs w:val="24"/>
          <w:lang w:val="en-US"/>
        </w:rPr>
        <w:t xml:space="preserve">g </w:t>
      </w:r>
      <w:r w:rsidRPr="001D044D">
        <w:rPr>
          <w:rFonts w:ascii="Times New Roman" w:hAnsi="Times New Roman" w:cs="Times New Roman"/>
          <w:sz w:val="24"/>
          <w:szCs w:val="24"/>
          <w:lang w:val="en-US"/>
        </w:rPr>
        <w:t xml:space="preserve">kami lakukan merupakan menganalisis rasio keuangan menurut empat perusahaan </w:t>
      </w:r>
      <w:r w:rsidR="00A30E0B" w:rsidRPr="001D044D">
        <w:rPr>
          <w:rFonts w:ascii="Times New Roman" w:hAnsi="Times New Roman" w:cs="Times New Roman"/>
          <w:sz w:val="24"/>
          <w:szCs w:val="24"/>
          <w:lang w:val="en-US"/>
        </w:rPr>
        <w:t>y</w:t>
      </w:r>
      <w:r w:rsidR="00A30E0B">
        <w:rPr>
          <w:rFonts w:ascii="Times New Roman" w:hAnsi="Times New Roman" w:cs="Times New Roman"/>
          <w:sz w:val="24"/>
          <w:szCs w:val="24"/>
        </w:rPr>
        <w:t>an</w:t>
      </w:r>
      <w:r w:rsidR="00A30E0B" w:rsidRPr="001D044D">
        <w:rPr>
          <w:rFonts w:ascii="Times New Roman" w:hAnsi="Times New Roman" w:cs="Times New Roman"/>
          <w:sz w:val="24"/>
          <w:szCs w:val="24"/>
          <w:lang w:val="en-US"/>
        </w:rPr>
        <w:t xml:space="preserve">g </w:t>
      </w:r>
      <w:r w:rsidRPr="001D044D">
        <w:rPr>
          <w:rFonts w:ascii="Times New Roman" w:hAnsi="Times New Roman" w:cs="Times New Roman"/>
          <w:sz w:val="24"/>
          <w:szCs w:val="24"/>
          <w:lang w:val="en-US"/>
        </w:rPr>
        <w:t xml:space="preserve">homogen pada bidang farmasi yaitu </w:t>
      </w:r>
      <w:r w:rsidR="001E2FD5">
        <w:rPr>
          <w:rFonts w:ascii="Times New Roman" w:hAnsi="Times New Roman" w:cs="Times New Roman"/>
          <w:sz w:val="24"/>
          <w:szCs w:val="24"/>
        </w:rPr>
        <w:t xml:space="preserve">PT Phapros Tbk, PT Industri Jamu &amp; Farmasi Sido Muncul Tbk, PT Merck Indonesia Tbk, PT Pyridam Farma Tbk </w:t>
      </w:r>
      <w:r w:rsidRPr="001D044D">
        <w:rPr>
          <w:rFonts w:ascii="Times New Roman" w:hAnsi="Times New Roman" w:cs="Times New Roman"/>
          <w:sz w:val="24"/>
          <w:szCs w:val="24"/>
          <w:lang w:val="en-US"/>
        </w:rPr>
        <w:t xml:space="preserve">menurut laporan keuangan tahun 2019-2021. Setelah menganalisis rasio keuangan menurut masing-masing perusahaan tadi pada makalah ini kami akan menganalisis memakai analisis time series &amp; cross section. </w:t>
      </w:r>
      <w:r w:rsidR="00634260">
        <w:rPr>
          <w:rFonts w:ascii="Times New Roman" w:hAnsi="Times New Roman" w:cs="Times New Roman"/>
          <w:sz w:val="24"/>
          <w:szCs w:val="24"/>
        </w:rPr>
        <w:t>Tujuan p</w:t>
      </w:r>
      <w:r w:rsidR="00634260">
        <w:rPr>
          <w:rFonts w:ascii="Times New Roman" w:hAnsi="Times New Roman" w:cs="Times New Roman"/>
          <w:sz w:val="24"/>
          <w:szCs w:val="24"/>
          <w:lang w:val="en-US"/>
        </w:rPr>
        <w:t>enelitian ini</w:t>
      </w:r>
      <w:r w:rsidR="00634260">
        <w:rPr>
          <w:rFonts w:ascii="Times New Roman" w:hAnsi="Times New Roman" w:cs="Times New Roman"/>
          <w:sz w:val="24"/>
          <w:szCs w:val="24"/>
        </w:rPr>
        <w:t xml:space="preserve"> untuk</w:t>
      </w:r>
      <w:r w:rsidRPr="001D044D">
        <w:rPr>
          <w:rFonts w:ascii="Times New Roman" w:hAnsi="Times New Roman" w:cs="Times New Roman"/>
          <w:sz w:val="24"/>
          <w:szCs w:val="24"/>
          <w:lang w:val="en-US"/>
        </w:rPr>
        <w:t xml:space="preserve"> mengetahui bagaimana kinerja empat perusahaan farmasi tadi jika dibandingkan menggunak</w:t>
      </w:r>
      <w:r w:rsidR="00A30E0B">
        <w:rPr>
          <w:rFonts w:ascii="Times New Roman" w:hAnsi="Times New Roman" w:cs="Times New Roman"/>
          <w:sz w:val="24"/>
          <w:szCs w:val="24"/>
          <w:lang w:val="en-US"/>
        </w:rPr>
        <w:t>an homogen-homogen industri yan</w:t>
      </w:r>
      <w:r w:rsidRPr="001D044D">
        <w:rPr>
          <w:rFonts w:ascii="Times New Roman" w:hAnsi="Times New Roman" w:cs="Times New Roman"/>
          <w:sz w:val="24"/>
          <w:szCs w:val="24"/>
          <w:lang w:val="en-US"/>
        </w:rPr>
        <w:t>g menurut tahun 2019-2021.</w:t>
      </w:r>
    </w:p>
    <w:p w:rsidR="001D044D" w:rsidRDefault="00390012" w:rsidP="00634260">
      <w:pPr>
        <w:spacing w:after="0" w:line="360" w:lineRule="auto"/>
        <w:jc w:val="both"/>
        <w:rPr>
          <w:rFonts w:ascii="Times New Roman" w:eastAsia="Times New Roman" w:hAnsi="Times New Roman" w:cs="Times New Roman"/>
          <w:b/>
          <w:sz w:val="24"/>
          <w:szCs w:val="24"/>
        </w:rPr>
      </w:pPr>
      <w:r w:rsidRPr="001D044D">
        <w:rPr>
          <w:rFonts w:ascii="Times New Roman" w:eastAsia="Times New Roman" w:hAnsi="Times New Roman" w:cs="Times New Roman"/>
          <w:b/>
          <w:sz w:val="24"/>
          <w:szCs w:val="24"/>
        </w:rPr>
        <w:t>KAJIAN TEORITIS</w:t>
      </w:r>
      <w:bookmarkStart w:id="1" w:name="_Toc120129226"/>
      <w:bookmarkStart w:id="2" w:name="_Toc121224761"/>
    </w:p>
    <w:p w:rsidR="002D7E7A" w:rsidRPr="001D044D" w:rsidRDefault="002D7E7A" w:rsidP="00A0352A">
      <w:pPr>
        <w:spacing w:after="0" w:line="360" w:lineRule="auto"/>
        <w:ind w:firstLine="720"/>
        <w:jc w:val="both"/>
        <w:rPr>
          <w:rFonts w:ascii="Times New Roman" w:hAnsi="Times New Roman" w:cs="Times New Roman"/>
          <w:sz w:val="24"/>
          <w:szCs w:val="24"/>
        </w:rPr>
      </w:pPr>
      <w:r w:rsidRPr="001D044D">
        <w:rPr>
          <w:rFonts w:ascii="Times New Roman" w:hAnsi="Times New Roman" w:cs="Times New Roman"/>
          <w:sz w:val="24"/>
          <w:szCs w:val="24"/>
        </w:rPr>
        <w:t>Laporan keuangan merupakan hasil akhir dari rangkaian proses pengumpulan dan ringkasan data transaksi bisnis. Akuntan harus tahu bagaimana mengatur semua informasi akuntansi untuk penyusunan laporan keuangan dan bagaimana menginterpretasikan dan menganalisis laporan keuangan yang disiapkan.</w:t>
      </w:r>
      <w:r w:rsidR="001D044D">
        <w:rPr>
          <w:rFonts w:ascii="Times New Roman" w:hAnsi="Times New Roman" w:cs="Times New Roman"/>
          <w:sz w:val="24"/>
          <w:szCs w:val="24"/>
        </w:rPr>
        <w:t xml:space="preserve"> </w:t>
      </w:r>
    </w:p>
    <w:p w:rsidR="002D7E7A" w:rsidRPr="001D044D" w:rsidRDefault="002D7E7A" w:rsidP="00634260">
      <w:pPr>
        <w:pStyle w:val="Heading2"/>
        <w:spacing w:before="0" w:line="360" w:lineRule="auto"/>
        <w:jc w:val="both"/>
        <w:rPr>
          <w:rFonts w:ascii="Times New Roman" w:hAnsi="Times New Roman" w:cs="Times New Roman"/>
          <w:color w:val="auto"/>
          <w:sz w:val="24"/>
          <w:szCs w:val="24"/>
        </w:rPr>
      </w:pPr>
      <w:r w:rsidRPr="001D044D">
        <w:rPr>
          <w:rFonts w:ascii="Times New Roman" w:hAnsi="Times New Roman" w:cs="Times New Roman"/>
          <w:color w:val="auto"/>
          <w:sz w:val="24"/>
          <w:szCs w:val="24"/>
        </w:rPr>
        <w:lastRenderedPageBreak/>
        <w:t>Analisis Laporan Keuangan</w:t>
      </w:r>
      <w:bookmarkEnd w:id="1"/>
      <w:bookmarkEnd w:id="2"/>
    </w:p>
    <w:p w:rsidR="002D7E7A" w:rsidRPr="00E57B90" w:rsidRDefault="002D7E7A" w:rsidP="00465ECD">
      <w:pPr>
        <w:spacing w:after="0" w:line="360" w:lineRule="auto"/>
        <w:ind w:firstLine="720"/>
        <w:jc w:val="both"/>
        <w:rPr>
          <w:rFonts w:ascii="Times New Roman" w:hAnsi="Times New Roman" w:cs="Times New Roman"/>
          <w:sz w:val="24"/>
          <w:szCs w:val="24"/>
        </w:rPr>
      </w:pPr>
      <w:r w:rsidRPr="001D044D">
        <w:rPr>
          <w:rFonts w:ascii="Times New Roman" w:hAnsi="Times New Roman" w:cs="Times New Roman"/>
          <w:sz w:val="24"/>
          <w:szCs w:val="24"/>
        </w:rPr>
        <w:t>Tujuan utama menganalisis laporan keuangan suatu perusahaan adalah untuk mengetahui profitabilitas (keuntungan) dan risiko atau ti</w:t>
      </w:r>
      <w:r w:rsidR="00465ECD">
        <w:rPr>
          <w:rFonts w:ascii="Times New Roman" w:hAnsi="Times New Roman" w:cs="Times New Roman"/>
          <w:sz w:val="24"/>
          <w:szCs w:val="24"/>
        </w:rPr>
        <w:t xml:space="preserve">ngkat solvabilitas perusahaan. </w:t>
      </w:r>
      <w:r w:rsidRPr="001D044D">
        <w:rPr>
          <w:rFonts w:ascii="Times New Roman" w:hAnsi="Times New Roman" w:cs="Times New Roman"/>
          <w:sz w:val="24"/>
          <w:szCs w:val="24"/>
        </w:rPr>
        <w:t>Menurut Harjito dan Martono (2011:51) Analisis neraca adalah analisis posisi keuangan perusahaan yang meliputi neraca dan perhitungan laba rugi.</w:t>
      </w:r>
      <w:r w:rsidR="00E57B90">
        <w:rPr>
          <w:rFonts w:ascii="Times New Roman" w:hAnsi="Times New Roman" w:cs="Times New Roman"/>
          <w:sz w:val="24"/>
          <w:szCs w:val="24"/>
        </w:rPr>
        <w:t xml:space="preserve"> </w:t>
      </w:r>
    </w:p>
    <w:p w:rsidR="002D7E7A" w:rsidRPr="001D044D" w:rsidRDefault="002D7E7A" w:rsidP="00634260">
      <w:pPr>
        <w:spacing w:after="0" w:line="360" w:lineRule="auto"/>
        <w:ind w:firstLine="720"/>
        <w:jc w:val="both"/>
        <w:rPr>
          <w:rFonts w:ascii="Times New Roman" w:hAnsi="Times New Roman" w:cs="Times New Roman"/>
          <w:sz w:val="24"/>
          <w:szCs w:val="24"/>
        </w:rPr>
      </w:pPr>
      <w:r w:rsidRPr="001D044D">
        <w:rPr>
          <w:rFonts w:ascii="Times New Roman" w:hAnsi="Times New Roman" w:cs="Times New Roman"/>
          <w:sz w:val="24"/>
          <w:szCs w:val="24"/>
        </w:rPr>
        <w:t>Dari definisi di atas, dapat disimpulkan bahwa analisis neraca adalah analisis kondisi keuangan suatu perusahaan dengan memecah neraca menjadi unit-unit data yang lebih kecil untuk mengidentifikasi hubungan atau hubungan yang penting dalam penyusunan laporan keuangan. proses pengambilan keputusan yang tepat bagi perusahaan.</w:t>
      </w:r>
    </w:p>
    <w:p w:rsidR="002D7E7A" w:rsidRPr="001D044D" w:rsidRDefault="002D7E7A" w:rsidP="00634260">
      <w:pPr>
        <w:spacing w:after="0"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Analisis Rasio keuangan</w:t>
      </w:r>
    </w:p>
    <w:p w:rsidR="00BE6227" w:rsidRDefault="002D7E7A" w:rsidP="00634260">
      <w:pPr>
        <w:spacing w:after="0" w:line="360" w:lineRule="auto"/>
        <w:ind w:firstLine="720"/>
        <w:jc w:val="both"/>
        <w:rPr>
          <w:rFonts w:ascii="Times New Roman" w:hAnsi="Times New Roman" w:cs="Times New Roman"/>
          <w:sz w:val="24"/>
          <w:szCs w:val="24"/>
        </w:rPr>
      </w:pPr>
      <w:r w:rsidRPr="001D044D">
        <w:rPr>
          <w:rFonts w:ascii="Times New Roman" w:hAnsi="Times New Roman" w:cs="Times New Roman"/>
          <w:sz w:val="24"/>
          <w:szCs w:val="24"/>
        </w:rPr>
        <w:t xml:space="preserve">Menurut Kashmir (2008:104) Rasio adalah fungsi yang membandingkan angka dalam laporan keuangan dengan cara membagi satu angka dengan angka lainnya. Perbandingan dapat dibuat antara komponen dan komponen pelaporan keuangan individual, atau antara laporan keuangan dan komponen yang ada. Angka perbandingan dapat berupa angka dari satu periode atau lebih. Menurut James C. Van Home (Kasmir, 2008:104) Angka keuangan adalah indeks yang menggabungkan dua angka akuntansi dan diperoleh dengan membagi satu angka dengan angka lainnya. Metrik tersebut digunakan untuk mengevaluasi kondisi keuangan dan kinerja perusahaan. </w:t>
      </w:r>
    </w:p>
    <w:p w:rsidR="002D7E7A" w:rsidRPr="00A0352A" w:rsidRDefault="002D7E7A" w:rsidP="00634260">
      <w:pPr>
        <w:spacing w:after="0" w:line="360" w:lineRule="auto"/>
        <w:ind w:firstLine="720"/>
        <w:jc w:val="both"/>
        <w:rPr>
          <w:rFonts w:ascii="Times New Roman" w:hAnsi="Times New Roman" w:cs="Times New Roman"/>
          <w:sz w:val="24"/>
          <w:szCs w:val="24"/>
        </w:rPr>
      </w:pPr>
      <w:r w:rsidRPr="001D044D">
        <w:rPr>
          <w:rFonts w:ascii="Times New Roman" w:hAnsi="Times New Roman" w:cs="Times New Roman"/>
          <w:sz w:val="24"/>
          <w:szCs w:val="24"/>
        </w:rPr>
        <w:t>Menurut Munawiri (</w:t>
      </w:r>
      <w:r w:rsidRPr="00A0352A">
        <w:rPr>
          <w:rFonts w:ascii="Times New Roman" w:hAnsi="Times New Roman" w:cs="Times New Roman"/>
          <w:sz w:val="24"/>
          <w:szCs w:val="24"/>
        </w:rPr>
        <w:t xml:space="preserve">2002:68) rasio pada dasarnya banyak karena rasio dibuat sesuai dengan kebutuhan penganalisa. Namun, metrik umumnya terbagi dalam dua kategori, yaitu sumber data keuangan dan tujuan penganalisa. </w:t>
      </w:r>
    </w:p>
    <w:p w:rsidR="00A0352A" w:rsidRDefault="002D7E7A" w:rsidP="00A0352A">
      <w:pPr>
        <w:pStyle w:val="ListParagraph"/>
        <w:numPr>
          <w:ilvl w:val="0"/>
          <w:numId w:val="22"/>
        </w:numPr>
        <w:spacing w:after="0" w:line="360" w:lineRule="auto"/>
        <w:ind w:left="284" w:hanging="284"/>
        <w:jc w:val="both"/>
        <w:rPr>
          <w:rFonts w:ascii="Times New Roman" w:hAnsi="Times New Roman" w:cs="Times New Roman"/>
          <w:sz w:val="24"/>
          <w:szCs w:val="24"/>
        </w:rPr>
      </w:pPr>
      <w:r w:rsidRPr="00A0352A">
        <w:rPr>
          <w:rFonts w:ascii="Times New Roman" w:hAnsi="Times New Roman" w:cs="Times New Roman"/>
          <w:sz w:val="24"/>
          <w:szCs w:val="24"/>
        </w:rPr>
        <w:t>Rasio dipisah berdasarkan sumber data</w:t>
      </w:r>
      <w:r w:rsidR="00A0352A" w:rsidRPr="00A0352A">
        <w:rPr>
          <w:rFonts w:ascii="Times New Roman" w:hAnsi="Times New Roman" w:cs="Times New Roman"/>
          <w:sz w:val="24"/>
          <w:szCs w:val="24"/>
        </w:rPr>
        <w:t xml:space="preserve">: </w:t>
      </w:r>
      <w:r w:rsidRPr="00A0352A">
        <w:rPr>
          <w:rFonts w:ascii="Times New Roman" w:hAnsi="Times New Roman" w:cs="Times New Roman"/>
          <w:sz w:val="24"/>
          <w:szCs w:val="24"/>
        </w:rPr>
        <w:t>Rasio keseimbangan</w:t>
      </w:r>
      <w:r w:rsidR="00A0352A" w:rsidRPr="00A0352A">
        <w:rPr>
          <w:rFonts w:ascii="Times New Roman" w:hAnsi="Times New Roman" w:cs="Times New Roman"/>
          <w:sz w:val="24"/>
          <w:szCs w:val="24"/>
        </w:rPr>
        <w:t xml:space="preserve">, </w:t>
      </w:r>
      <w:r w:rsidRPr="00A0352A">
        <w:rPr>
          <w:rFonts w:ascii="Times New Roman" w:hAnsi="Times New Roman" w:cs="Times New Roman"/>
          <w:sz w:val="24"/>
          <w:szCs w:val="24"/>
        </w:rPr>
        <w:t>Rasio Akun Untung dan Rugi</w:t>
      </w:r>
      <w:r w:rsidR="00A0352A" w:rsidRPr="00A0352A">
        <w:rPr>
          <w:rFonts w:ascii="Times New Roman" w:hAnsi="Times New Roman" w:cs="Times New Roman"/>
          <w:sz w:val="24"/>
          <w:szCs w:val="24"/>
        </w:rPr>
        <w:t xml:space="preserve">, </w:t>
      </w:r>
      <w:r w:rsidRPr="00A0352A">
        <w:rPr>
          <w:rFonts w:ascii="Times New Roman" w:hAnsi="Times New Roman" w:cs="Times New Roman"/>
          <w:sz w:val="24"/>
          <w:szCs w:val="24"/>
        </w:rPr>
        <w:t>Hubungan antar pernyataan</w:t>
      </w:r>
      <w:r w:rsidR="00A0352A">
        <w:rPr>
          <w:rFonts w:ascii="Times New Roman" w:hAnsi="Times New Roman" w:cs="Times New Roman"/>
          <w:sz w:val="24"/>
          <w:szCs w:val="24"/>
        </w:rPr>
        <w:t>.</w:t>
      </w:r>
    </w:p>
    <w:p w:rsidR="002D7E7A" w:rsidRPr="00A0352A" w:rsidRDefault="002D7E7A" w:rsidP="00A0352A">
      <w:pPr>
        <w:pStyle w:val="ListParagraph"/>
        <w:numPr>
          <w:ilvl w:val="0"/>
          <w:numId w:val="22"/>
        </w:numPr>
        <w:spacing w:after="0" w:line="360" w:lineRule="auto"/>
        <w:ind w:left="284" w:hanging="284"/>
        <w:jc w:val="both"/>
        <w:rPr>
          <w:rFonts w:ascii="Times New Roman" w:hAnsi="Times New Roman" w:cs="Times New Roman"/>
          <w:sz w:val="24"/>
          <w:szCs w:val="24"/>
        </w:rPr>
      </w:pPr>
      <w:r w:rsidRPr="00A0352A">
        <w:rPr>
          <w:rFonts w:ascii="Times New Roman" w:eastAsia="Times New Roman" w:hAnsi="Times New Roman" w:cs="Times New Roman"/>
          <w:sz w:val="24"/>
          <w:szCs w:val="24"/>
        </w:rPr>
        <w:t>Berdasarkan tujuan dari report analyzer, dapat diklasifikasikan sebagai berikut:</w:t>
      </w:r>
    </w:p>
    <w:p w:rsidR="002D7E7A" w:rsidRPr="00A0352A" w:rsidRDefault="002D7E7A" w:rsidP="00A0352A">
      <w:pPr>
        <w:pStyle w:val="ListParagraph"/>
        <w:numPr>
          <w:ilvl w:val="0"/>
          <w:numId w:val="23"/>
        </w:numPr>
        <w:spacing w:after="0" w:line="360" w:lineRule="auto"/>
        <w:jc w:val="both"/>
        <w:rPr>
          <w:rFonts w:ascii="Times New Roman" w:eastAsia="Times New Roman" w:hAnsi="Times New Roman" w:cs="Times New Roman"/>
          <w:sz w:val="24"/>
          <w:szCs w:val="24"/>
        </w:rPr>
      </w:pPr>
      <w:r w:rsidRPr="00A0352A">
        <w:rPr>
          <w:rFonts w:ascii="Times New Roman" w:eastAsia="Times New Roman" w:hAnsi="Times New Roman" w:cs="Times New Roman"/>
          <w:sz w:val="24"/>
          <w:szCs w:val="24"/>
        </w:rPr>
        <w:t>Rasio likuiditas</w:t>
      </w:r>
      <w:r w:rsidR="00A0352A">
        <w:rPr>
          <w:rFonts w:ascii="Times New Roman" w:eastAsia="Times New Roman" w:hAnsi="Times New Roman" w:cs="Times New Roman"/>
          <w:sz w:val="24"/>
          <w:szCs w:val="24"/>
        </w:rPr>
        <w:t>.</w:t>
      </w:r>
      <w:r w:rsidRPr="00A0352A">
        <w:rPr>
          <w:rFonts w:ascii="Times New Roman" w:eastAsia="Times New Roman" w:hAnsi="Times New Roman" w:cs="Times New Roman"/>
          <w:sz w:val="24"/>
          <w:szCs w:val="24"/>
        </w:rPr>
        <w:t xml:space="preserve"> Rasio likuiditas adalah ukuran kemampuan perusahaan untuk memenuhi kewajiban jangka pendeknya ke</w:t>
      </w:r>
      <w:r w:rsidR="00A0352A">
        <w:rPr>
          <w:rFonts w:ascii="Times New Roman" w:eastAsia="Times New Roman" w:hAnsi="Times New Roman" w:cs="Times New Roman"/>
          <w:sz w:val="24"/>
          <w:szCs w:val="24"/>
        </w:rPr>
        <w:t>tika datang dengan aset lancar.</w:t>
      </w:r>
    </w:p>
    <w:p w:rsidR="002D7E7A" w:rsidRPr="00A0352A" w:rsidRDefault="002D7E7A" w:rsidP="00634260">
      <w:pPr>
        <w:pStyle w:val="ListParagraph"/>
        <w:spacing w:after="0" w:line="360" w:lineRule="auto"/>
        <w:ind w:left="0"/>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Rasio Lancar=</m:t>
          </m:r>
          <m:f>
            <m:fPr>
              <m:type m:val="lin"/>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Aktiva Lancar</m:t>
              </m:r>
            </m:num>
            <m:den>
              <m:r>
                <w:rPr>
                  <w:rFonts w:ascii="Cambria Math" w:eastAsia="Times New Roman" w:hAnsi="Cambria Math" w:cs="Times New Roman"/>
                  <w:sz w:val="24"/>
                  <w:szCs w:val="24"/>
                </w:rPr>
                <m:t>Utang Lancar</m:t>
              </m:r>
            </m:den>
          </m:f>
          <m:r>
            <w:rPr>
              <w:rFonts w:ascii="Cambria Math" w:eastAsia="Times New Roman" w:hAnsi="Cambria Math" w:cs="Times New Roman"/>
              <w:sz w:val="24"/>
              <w:szCs w:val="24"/>
            </w:rPr>
            <m:t xml:space="preserve"> </m:t>
          </m:r>
        </m:oMath>
      </m:oMathPara>
    </w:p>
    <w:p w:rsidR="002D7E7A" w:rsidRPr="00A0352A" w:rsidRDefault="002D7E7A" w:rsidP="00A0352A">
      <w:pPr>
        <w:pStyle w:val="ListParagraph"/>
        <w:numPr>
          <w:ilvl w:val="0"/>
          <w:numId w:val="23"/>
        </w:numPr>
        <w:spacing w:after="0" w:line="360" w:lineRule="auto"/>
        <w:jc w:val="both"/>
        <w:rPr>
          <w:rFonts w:ascii="Times New Roman" w:eastAsia="Times New Roman" w:hAnsi="Times New Roman" w:cs="Times New Roman"/>
          <w:sz w:val="24"/>
          <w:szCs w:val="24"/>
        </w:rPr>
      </w:pPr>
      <w:r w:rsidRPr="00A0352A">
        <w:rPr>
          <w:rFonts w:ascii="Times New Roman" w:eastAsia="Times New Roman" w:hAnsi="Times New Roman" w:cs="Times New Roman"/>
          <w:sz w:val="24"/>
          <w:szCs w:val="24"/>
        </w:rPr>
        <w:t>Rasio-rasio solvabilitas</w:t>
      </w:r>
      <w:r w:rsidR="00A0352A">
        <w:rPr>
          <w:rFonts w:ascii="Times New Roman" w:eastAsia="Times New Roman" w:hAnsi="Times New Roman" w:cs="Times New Roman"/>
          <w:sz w:val="24"/>
          <w:szCs w:val="24"/>
        </w:rPr>
        <w:t xml:space="preserve">. </w:t>
      </w:r>
      <w:r w:rsidRPr="00A0352A">
        <w:rPr>
          <w:rFonts w:ascii="Times New Roman" w:hAnsi="Times New Roman" w:cs="Times New Roman"/>
          <w:sz w:val="24"/>
          <w:szCs w:val="24"/>
        </w:rPr>
        <w:t xml:space="preserve">Rasio solvabilitas yaitu rasio yang menggambarkan kemampuan perusahaan untuk memenuhi kewajiban jangka panjangnya. </w:t>
      </w:r>
    </w:p>
    <w:p w:rsidR="002D7E7A" w:rsidRPr="00A0352A" w:rsidRDefault="002D7E7A" w:rsidP="00634260">
      <w:pPr>
        <w:pStyle w:val="ListParagraph"/>
        <w:spacing w:after="0"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Total Utang Terhadap Aset=</m:t>
          </m:r>
          <m:f>
            <m:fPr>
              <m:type m:val="lin"/>
              <m:ctrlPr>
                <w:rPr>
                  <w:rFonts w:ascii="Cambria Math" w:hAnsi="Cambria Math" w:cs="Times New Roman"/>
                  <w:i/>
                  <w:sz w:val="24"/>
                  <w:szCs w:val="24"/>
                </w:rPr>
              </m:ctrlPr>
            </m:fPr>
            <m:num>
              <m:r>
                <w:rPr>
                  <w:rFonts w:ascii="Cambria Math" w:hAnsi="Cambria Math" w:cs="Times New Roman"/>
                  <w:sz w:val="24"/>
                  <w:szCs w:val="24"/>
                </w:rPr>
                <m:t>Total Utang</m:t>
              </m:r>
            </m:num>
            <m:den>
              <m:r>
                <w:rPr>
                  <w:rFonts w:ascii="Cambria Math" w:hAnsi="Cambria Math" w:cs="Times New Roman"/>
                  <w:sz w:val="24"/>
                  <w:szCs w:val="24"/>
                </w:rPr>
                <m:t>Total Aset</m:t>
              </m:r>
            </m:den>
          </m:f>
          <m:r>
            <w:rPr>
              <w:rFonts w:ascii="Cambria Math" w:hAnsi="Cambria Math" w:cs="Times New Roman"/>
              <w:sz w:val="24"/>
              <w:szCs w:val="24"/>
            </w:rPr>
            <m:t xml:space="preserve"> </m:t>
          </m:r>
        </m:oMath>
      </m:oMathPara>
    </w:p>
    <w:p w:rsidR="00A0352A" w:rsidRPr="00A0352A" w:rsidRDefault="00A34782" w:rsidP="00A0352A">
      <w:pPr>
        <w:pStyle w:val="ListParagraph"/>
        <w:numPr>
          <w:ilvl w:val="0"/>
          <w:numId w:val="23"/>
        </w:numPr>
        <w:spacing w:after="0" w:line="360" w:lineRule="auto"/>
        <w:jc w:val="both"/>
        <w:rPr>
          <w:rFonts w:ascii="Times New Roman" w:eastAsia="Times New Roman" w:hAnsi="Times New Roman" w:cs="Times New Roman"/>
          <w:sz w:val="24"/>
          <w:szCs w:val="24"/>
        </w:rPr>
      </w:pPr>
      <w:r w:rsidRPr="00A0352A">
        <w:rPr>
          <w:rFonts w:ascii="Times New Roman" w:eastAsia="Times New Roman" w:hAnsi="Times New Roman" w:cs="Times New Roman"/>
          <w:sz w:val="24"/>
          <w:szCs w:val="24"/>
        </w:rPr>
        <w:t>Rasio-rasio profitabilitas</w:t>
      </w:r>
      <w:r w:rsidR="00A0352A">
        <w:rPr>
          <w:rFonts w:ascii="Times New Roman" w:eastAsia="Times New Roman" w:hAnsi="Times New Roman" w:cs="Times New Roman"/>
          <w:sz w:val="24"/>
          <w:szCs w:val="24"/>
        </w:rPr>
        <w:t xml:space="preserve">. </w:t>
      </w:r>
      <w:r w:rsidRPr="00A0352A">
        <w:rPr>
          <w:rFonts w:ascii="Times New Roman" w:hAnsi="Times New Roman" w:cs="Times New Roman"/>
          <w:sz w:val="24"/>
          <w:szCs w:val="24"/>
        </w:rPr>
        <w:t>Rasio profitabilitas yakni rasio yang dipakai untuk memilih kemampuan perusahaan dalam menghasilkan keuntungan.</w:t>
      </w:r>
    </w:p>
    <w:p w:rsidR="00A34782" w:rsidRPr="00A0352A" w:rsidRDefault="00A34782" w:rsidP="00A0352A">
      <w:pPr>
        <w:pStyle w:val="ListParagraph"/>
        <w:numPr>
          <w:ilvl w:val="0"/>
          <w:numId w:val="24"/>
        </w:numPr>
        <w:spacing w:after="0" w:line="360" w:lineRule="auto"/>
        <w:jc w:val="both"/>
        <w:rPr>
          <w:rFonts w:ascii="Times New Roman" w:eastAsia="Times New Roman" w:hAnsi="Times New Roman" w:cs="Times New Roman"/>
          <w:sz w:val="24"/>
          <w:szCs w:val="24"/>
        </w:rPr>
      </w:pPr>
      <w:r w:rsidRPr="00A0352A">
        <w:rPr>
          <w:rFonts w:ascii="Times New Roman" w:hAnsi="Times New Roman" w:cs="Times New Roman"/>
          <w:sz w:val="24"/>
          <w:szCs w:val="24"/>
        </w:rPr>
        <w:lastRenderedPageBreak/>
        <w:t>Profit margin merupakan ukuran yang dipakai untuk menghitung kemampuan perusahaan membuat laba bersih pada tingkat penjualan tertentu.</w:t>
      </w:r>
    </w:p>
    <w:p w:rsidR="00A34782" w:rsidRPr="00A0352A" w:rsidRDefault="00A34782" w:rsidP="00634260">
      <w:pPr>
        <w:spacing w:after="0" w:line="360" w:lineRule="auto"/>
        <w:ind w:left="1843"/>
        <w:contextualSpacing/>
        <w:jc w:val="both"/>
        <w:rPr>
          <w:rFonts w:ascii="Times New Roman" w:hAnsi="Times New Roman" w:cs="Times New Roman"/>
          <w:sz w:val="24"/>
          <w:szCs w:val="24"/>
        </w:rPr>
      </w:pPr>
      <m:oMathPara>
        <m:oMath>
          <m:r>
            <w:rPr>
              <w:rFonts w:ascii="Cambria Math" w:hAnsi="Cambria Math" w:cs="Times New Roman"/>
              <w:sz w:val="24"/>
              <w:szCs w:val="24"/>
            </w:rPr>
            <m:t>Profit Margin=</m:t>
          </m:r>
          <m:f>
            <m:fPr>
              <m:type m:val="lin"/>
              <m:ctrlPr>
                <w:rPr>
                  <w:rFonts w:ascii="Cambria Math" w:hAnsi="Cambria Math" w:cs="Times New Roman"/>
                  <w:i/>
                  <w:sz w:val="24"/>
                  <w:szCs w:val="24"/>
                </w:rPr>
              </m:ctrlPr>
            </m:fPr>
            <m:num>
              <m:r>
                <w:rPr>
                  <w:rFonts w:ascii="Cambria Math" w:hAnsi="Cambria Math" w:cs="Times New Roman"/>
                  <w:sz w:val="24"/>
                  <w:szCs w:val="24"/>
                </w:rPr>
                <m:t>Laba Bersih</m:t>
              </m:r>
            </m:num>
            <m:den>
              <m:r>
                <w:rPr>
                  <w:rFonts w:ascii="Cambria Math" w:hAnsi="Cambria Math" w:cs="Times New Roman"/>
                  <w:sz w:val="24"/>
                  <w:szCs w:val="24"/>
                </w:rPr>
                <m:t>Penjualan</m:t>
              </m:r>
            </m:den>
          </m:f>
          <m:r>
            <w:rPr>
              <w:rFonts w:ascii="Cambria Math" w:hAnsi="Cambria Math" w:cs="Times New Roman"/>
              <w:sz w:val="24"/>
              <w:szCs w:val="24"/>
            </w:rPr>
            <m:t xml:space="preserve"> </m:t>
          </m:r>
        </m:oMath>
      </m:oMathPara>
    </w:p>
    <w:p w:rsidR="00A34782" w:rsidRPr="00A0352A" w:rsidRDefault="00A34782" w:rsidP="00A0352A">
      <w:pPr>
        <w:pStyle w:val="ListParagraph"/>
        <w:numPr>
          <w:ilvl w:val="0"/>
          <w:numId w:val="24"/>
        </w:numPr>
        <w:spacing w:after="0" w:line="360" w:lineRule="auto"/>
        <w:jc w:val="both"/>
        <w:rPr>
          <w:rFonts w:ascii="Times New Roman" w:eastAsia="Times New Roman" w:hAnsi="Times New Roman" w:cs="Times New Roman"/>
          <w:sz w:val="24"/>
          <w:szCs w:val="24"/>
        </w:rPr>
      </w:pPr>
      <w:r w:rsidRPr="00A0352A">
        <w:rPr>
          <w:rFonts w:ascii="Times New Roman" w:hAnsi="Times New Roman" w:cs="Times New Roman"/>
          <w:sz w:val="24"/>
          <w:szCs w:val="24"/>
        </w:rPr>
        <w:t xml:space="preserve">Return On Assets (ROA) yakni rasio yg mengukur kemampuan perusahaan untuk membuat laba bersih dalam taraf aset tertentu. </w:t>
      </w:r>
    </w:p>
    <w:p w:rsidR="00A34782" w:rsidRPr="00A0352A" w:rsidRDefault="00A34782" w:rsidP="00A0352A">
      <w:pPr>
        <w:spacing w:after="0" w:line="360" w:lineRule="auto"/>
        <w:ind w:left="3861" w:firstLine="459"/>
        <w:contextualSpacing/>
        <w:rPr>
          <w:rFonts w:ascii="Times New Roman" w:eastAsia="Times New Roman" w:hAnsi="Times New Roman" w:cs="Times New Roman"/>
          <w:i/>
          <w:sz w:val="24"/>
          <w:szCs w:val="24"/>
        </w:rPr>
      </w:pPr>
      <w:r w:rsidRPr="00A0352A">
        <w:rPr>
          <w:rFonts w:ascii="Times New Roman" w:hAnsi="Times New Roman" w:cs="Times New Roman"/>
          <w:i/>
          <w:sz w:val="24"/>
          <w:szCs w:val="24"/>
        </w:rPr>
        <w:t>ROA = Laba Bersih</w:t>
      </w:r>
      <w:r w:rsidR="00A0352A" w:rsidRPr="00A0352A">
        <w:rPr>
          <w:rFonts w:ascii="Times New Roman" w:hAnsi="Times New Roman" w:cs="Times New Roman"/>
          <w:i/>
          <w:sz w:val="24"/>
          <w:szCs w:val="24"/>
        </w:rPr>
        <w:t xml:space="preserve"> / Total Aset</w:t>
      </w:r>
    </w:p>
    <w:p w:rsidR="00A34782" w:rsidRPr="00A0352A" w:rsidRDefault="00A34782" w:rsidP="00A0352A">
      <w:pPr>
        <w:pStyle w:val="ListParagraph"/>
        <w:numPr>
          <w:ilvl w:val="0"/>
          <w:numId w:val="24"/>
        </w:numPr>
        <w:spacing w:after="0" w:line="360" w:lineRule="auto"/>
        <w:jc w:val="both"/>
        <w:rPr>
          <w:rFonts w:ascii="Times New Roman" w:hAnsi="Times New Roman" w:cs="Times New Roman"/>
          <w:sz w:val="24"/>
          <w:szCs w:val="24"/>
        </w:rPr>
      </w:pPr>
      <w:r w:rsidRPr="00A0352A">
        <w:rPr>
          <w:rFonts w:ascii="Times New Roman" w:hAnsi="Times New Roman" w:cs="Times New Roman"/>
          <w:sz w:val="24"/>
          <w:szCs w:val="24"/>
        </w:rPr>
        <w:t>Return On Equity (ROE) Return On Assets (ROA) adalah metrik yang mengukur kemampuan perusahaan untuk membuat bersih pada tingkat aset tertentu.</w:t>
      </w:r>
    </w:p>
    <w:p w:rsidR="00A34782" w:rsidRPr="00A0352A" w:rsidRDefault="00A34782" w:rsidP="00634260">
      <w:pPr>
        <w:spacing w:after="0" w:line="360" w:lineRule="auto"/>
        <w:contextualSpacing/>
        <w:jc w:val="center"/>
        <w:rPr>
          <w:rFonts w:ascii="Times New Roman" w:hAnsi="Times New Roman" w:cs="Times New Roman"/>
          <w:sz w:val="24"/>
          <w:szCs w:val="24"/>
        </w:rPr>
      </w:pPr>
      <w:r w:rsidRPr="00A0352A">
        <w:rPr>
          <w:rFonts w:ascii="Times New Roman" w:hAnsi="Times New Roman" w:cs="Times New Roman"/>
          <w:sz w:val="24"/>
          <w:szCs w:val="24"/>
        </w:rPr>
        <w:t>ROE = Laba Bersih</w:t>
      </w:r>
      <w:r w:rsidR="00A0352A" w:rsidRPr="00A0352A">
        <w:rPr>
          <w:rFonts w:ascii="Times New Roman" w:hAnsi="Times New Roman" w:cs="Times New Roman"/>
          <w:sz w:val="24"/>
          <w:szCs w:val="24"/>
        </w:rPr>
        <w:t xml:space="preserve"> / Modal Saham</w:t>
      </w:r>
    </w:p>
    <w:p w:rsidR="00A34782" w:rsidRPr="00A0352A" w:rsidRDefault="00A34782" w:rsidP="00A0352A">
      <w:pPr>
        <w:pStyle w:val="ListParagraph"/>
        <w:numPr>
          <w:ilvl w:val="0"/>
          <w:numId w:val="23"/>
        </w:numPr>
        <w:spacing w:after="0" w:line="360" w:lineRule="auto"/>
        <w:jc w:val="both"/>
        <w:rPr>
          <w:rFonts w:ascii="Times New Roman" w:eastAsia="Times New Roman" w:hAnsi="Times New Roman" w:cs="Times New Roman"/>
          <w:sz w:val="24"/>
          <w:szCs w:val="24"/>
        </w:rPr>
      </w:pPr>
      <w:r w:rsidRPr="00A0352A">
        <w:rPr>
          <w:rFonts w:ascii="Times New Roman" w:eastAsia="Times New Roman" w:hAnsi="Times New Roman" w:cs="Times New Roman"/>
          <w:sz w:val="24"/>
          <w:szCs w:val="24"/>
        </w:rPr>
        <w:t>Rasio-rasio aktivitas.</w:t>
      </w:r>
      <w:r w:rsidR="00A0352A">
        <w:rPr>
          <w:rFonts w:ascii="Times New Roman" w:eastAsia="Times New Roman" w:hAnsi="Times New Roman" w:cs="Times New Roman"/>
          <w:sz w:val="24"/>
          <w:szCs w:val="24"/>
        </w:rPr>
        <w:t xml:space="preserve"> </w:t>
      </w:r>
      <w:r w:rsidRPr="00A0352A">
        <w:rPr>
          <w:rFonts w:ascii="Times New Roman" w:hAnsi="Times New Roman" w:cs="Times New Roman"/>
          <w:sz w:val="24"/>
          <w:szCs w:val="24"/>
        </w:rPr>
        <w:t xml:space="preserve">Rasio Aktivitas adalah rasio yang mengukur seberapa efisien sumber daya perusahaan digunakan atau mengevaluasi kemampuan perusahaan dalam menjalankan operasi sehari-hari. </w:t>
      </w:r>
    </w:p>
    <w:p w:rsidR="00A34782" w:rsidRPr="00A0352A" w:rsidRDefault="00A34782" w:rsidP="00A0352A">
      <w:pPr>
        <w:pStyle w:val="ListParagraph"/>
        <w:numPr>
          <w:ilvl w:val="1"/>
          <w:numId w:val="24"/>
        </w:numPr>
        <w:spacing w:after="0" w:line="360" w:lineRule="auto"/>
        <w:ind w:left="1134"/>
        <w:jc w:val="both"/>
        <w:rPr>
          <w:rFonts w:ascii="Times New Roman" w:hAnsi="Times New Roman" w:cs="Times New Roman"/>
          <w:sz w:val="24"/>
          <w:szCs w:val="24"/>
        </w:rPr>
      </w:pPr>
      <w:r w:rsidRPr="00A0352A">
        <w:rPr>
          <w:rFonts w:ascii="Times New Roman" w:hAnsi="Times New Roman" w:cs="Times New Roman"/>
          <w:sz w:val="24"/>
          <w:szCs w:val="24"/>
        </w:rPr>
        <w:t xml:space="preserve">Rata-rata Umur Piutang adalah rasio yang digunakan untuk melihat seberapa lama waktu yang diperlukan perusahaan untuk melunasi piutang (merubah piutang menjadi kas). </w:t>
      </w:r>
    </w:p>
    <w:p w:rsidR="00A34782" w:rsidRPr="00A34782" w:rsidRDefault="00A0352A" w:rsidP="00634260">
      <w:pPr>
        <w:spacing w:after="0" w:line="360" w:lineRule="auto"/>
        <w:contextualSpacing/>
        <w:jc w:val="center"/>
        <w:rPr>
          <w:rFonts w:ascii="Times New Roman" w:hAnsi="Times New Roman" w:cs="Times New Roman"/>
          <w:sz w:val="24"/>
          <w:szCs w:val="24"/>
          <w:u w:val="single"/>
        </w:rPr>
      </w:pPr>
      <w:r>
        <w:rPr>
          <w:rFonts w:ascii="Times New Roman" w:hAnsi="Times New Roman" w:cs="Times New Roman"/>
          <w:sz w:val="24"/>
          <w:szCs w:val="24"/>
        </w:rPr>
        <w:t xml:space="preserve">Rata − rata Umur Piutang </w:t>
      </w:r>
      <w:r w:rsidR="00A34782" w:rsidRPr="00A34782">
        <w:rPr>
          <w:rFonts w:ascii="Times New Roman" w:hAnsi="Times New Roman" w:cs="Times New Roman"/>
          <w:sz w:val="24"/>
          <w:szCs w:val="24"/>
        </w:rPr>
        <w:t xml:space="preserve">= </w:t>
      </w:r>
      <w:r w:rsidR="00A34782" w:rsidRPr="00A0352A">
        <w:rPr>
          <w:rFonts w:ascii="Times New Roman" w:hAnsi="Times New Roman" w:cs="Times New Roman"/>
          <w:sz w:val="24"/>
          <w:szCs w:val="24"/>
        </w:rPr>
        <w:t>Piutang</w:t>
      </w:r>
      <w:r w:rsidRPr="00A0352A">
        <w:rPr>
          <w:rFonts w:ascii="Times New Roman" w:hAnsi="Times New Roman" w:cs="Times New Roman"/>
          <w:sz w:val="24"/>
          <w:szCs w:val="24"/>
        </w:rPr>
        <w:t xml:space="preserve"> / Penjualan/365</w:t>
      </w:r>
    </w:p>
    <w:p w:rsidR="00A34782" w:rsidRPr="00A0352A" w:rsidRDefault="00A34782" w:rsidP="00A0352A">
      <w:pPr>
        <w:pStyle w:val="ListParagraph"/>
        <w:numPr>
          <w:ilvl w:val="1"/>
          <w:numId w:val="24"/>
        </w:numPr>
        <w:spacing w:after="0" w:line="360" w:lineRule="auto"/>
        <w:ind w:left="1134"/>
        <w:jc w:val="both"/>
        <w:rPr>
          <w:rFonts w:ascii="Times New Roman" w:hAnsi="Times New Roman" w:cs="Times New Roman"/>
          <w:sz w:val="24"/>
          <w:szCs w:val="24"/>
        </w:rPr>
      </w:pPr>
      <w:r w:rsidRPr="00A0352A">
        <w:rPr>
          <w:rFonts w:ascii="Times New Roman" w:hAnsi="Times New Roman" w:cs="Times New Roman"/>
          <w:sz w:val="24"/>
          <w:szCs w:val="24"/>
        </w:rPr>
        <w:t xml:space="preserve">Perputaran Aktiva Tetap adalah rasio yang mengukur sejauh mana kemampuan perusahaan menghasilkan penjualan berdasarkan aktiva tetap yang dimiliki perusahaan. </w:t>
      </w:r>
    </w:p>
    <w:p w:rsidR="00A34782" w:rsidRPr="00A0352A" w:rsidRDefault="00A34782" w:rsidP="00BE6227">
      <w:pPr>
        <w:spacing w:after="0" w:line="360" w:lineRule="auto"/>
        <w:ind w:left="1440" w:firstLine="720"/>
        <w:contextualSpacing/>
        <w:rPr>
          <w:rFonts w:ascii="Times New Roman" w:hAnsi="Times New Roman" w:cs="Times New Roman"/>
          <w:sz w:val="24"/>
          <w:szCs w:val="24"/>
        </w:rPr>
      </w:pPr>
      <w:r w:rsidRPr="00A0352A">
        <w:rPr>
          <w:rFonts w:ascii="Times New Roman" w:hAnsi="Times New Roman" w:cs="Times New Roman"/>
          <w:sz w:val="24"/>
          <w:szCs w:val="24"/>
        </w:rPr>
        <w:t>Perputaran Aktiva Tetap = Penjualan</w:t>
      </w:r>
      <w:r w:rsidR="00A0352A" w:rsidRPr="00A0352A">
        <w:rPr>
          <w:rFonts w:ascii="Times New Roman" w:hAnsi="Times New Roman" w:cs="Times New Roman"/>
          <w:sz w:val="24"/>
          <w:szCs w:val="24"/>
        </w:rPr>
        <w:t xml:space="preserve"> / Aktiva Tetap</w:t>
      </w:r>
    </w:p>
    <w:p w:rsidR="00A34782" w:rsidRPr="00A0352A" w:rsidRDefault="00A34782" w:rsidP="00A0352A">
      <w:pPr>
        <w:pStyle w:val="ListParagraph"/>
        <w:numPr>
          <w:ilvl w:val="1"/>
          <w:numId w:val="24"/>
        </w:numPr>
        <w:spacing w:after="0" w:line="360" w:lineRule="auto"/>
        <w:ind w:left="1134"/>
        <w:jc w:val="both"/>
        <w:rPr>
          <w:rFonts w:ascii="Times New Roman" w:eastAsia="Times New Roman" w:hAnsi="Times New Roman" w:cs="Times New Roman"/>
          <w:sz w:val="24"/>
          <w:szCs w:val="24"/>
        </w:rPr>
      </w:pPr>
      <w:r w:rsidRPr="00A0352A">
        <w:rPr>
          <w:rFonts w:ascii="Times New Roman" w:hAnsi="Times New Roman" w:cs="Times New Roman"/>
          <w:sz w:val="24"/>
          <w:szCs w:val="24"/>
        </w:rPr>
        <w:t xml:space="preserve">Perputaran Total Aktiva adalah rasio yang digunakan untuk menghitung seberapa efektif perusahaan dalam penggunaan total aktiva. </w:t>
      </w:r>
    </w:p>
    <w:p w:rsidR="00A34782" w:rsidRPr="00A34782" w:rsidRDefault="00A34782" w:rsidP="00634260">
      <w:pPr>
        <w:spacing w:after="0" w:line="360" w:lineRule="auto"/>
        <w:contextualSpacing/>
        <w:jc w:val="center"/>
        <w:rPr>
          <w:rFonts w:ascii="Times New Roman" w:hAnsi="Times New Roman" w:cs="Times New Roman"/>
          <w:sz w:val="24"/>
          <w:szCs w:val="24"/>
        </w:rPr>
      </w:pPr>
      <w:r w:rsidRPr="00A34782">
        <w:rPr>
          <w:rFonts w:ascii="Times New Roman" w:hAnsi="Times New Roman" w:cs="Times New Roman"/>
          <w:sz w:val="24"/>
          <w:szCs w:val="24"/>
        </w:rPr>
        <w:t xml:space="preserve">Perputaran Total Aktiva = </w:t>
      </w:r>
      <w:r w:rsidRPr="00A0352A">
        <w:rPr>
          <w:rFonts w:ascii="Times New Roman" w:hAnsi="Times New Roman" w:cs="Times New Roman"/>
          <w:sz w:val="24"/>
          <w:szCs w:val="24"/>
        </w:rPr>
        <w:t>Penjualan</w:t>
      </w:r>
      <w:r w:rsidR="00A0352A" w:rsidRPr="00A0352A">
        <w:rPr>
          <w:rFonts w:ascii="Times New Roman" w:hAnsi="Times New Roman" w:cs="Times New Roman"/>
          <w:sz w:val="24"/>
          <w:szCs w:val="24"/>
        </w:rPr>
        <w:t xml:space="preserve"> / Total Aktiva</w:t>
      </w:r>
    </w:p>
    <w:p w:rsidR="00BE6227" w:rsidRDefault="00A34782" w:rsidP="00BE6227">
      <w:pPr>
        <w:spacing w:after="0" w:line="360" w:lineRule="auto"/>
        <w:ind w:firstLine="720"/>
        <w:jc w:val="both"/>
        <w:rPr>
          <w:rFonts w:ascii="Times New Roman" w:eastAsia="Times New Roman" w:hAnsi="Times New Roman" w:cs="Times New Roman"/>
          <w:sz w:val="24"/>
          <w:szCs w:val="24"/>
        </w:rPr>
      </w:pPr>
      <w:r w:rsidRPr="00A34782">
        <w:rPr>
          <w:rFonts w:ascii="Times New Roman" w:eastAsia="Times New Roman" w:hAnsi="Times New Roman" w:cs="Times New Roman"/>
          <w:sz w:val="24"/>
          <w:szCs w:val="24"/>
        </w:rPr>
        <w:t>Tujuan menganalisis rasio keuangan adalah untuk membantu manajer me</w:t>
      </w:r>
      <w:r w:rsidRPr="00A34782">
        <w:rPr>
          <w:rFonts w:ascii="Times New Roman" w:eastAsia="Times New Roman" w:hAnsi="Times New Roman" w:cs="Times New Roman"/>
          <w:sz w:val="24"/>
          <w:szCs w:val="24"/>
          <w:lang w:val="en-US"/>
        </w:rPr>
        <w:t>ng</w:t>
      </w:r>
      <w:r w:rsidRPr="00A34782">
        <w:rPr>
          <w:rFonts w:ascii="Times New Roman" w:eastAsia="Times New Roman" w:hAnsi="Times New Roman" w:cs="Times New Roman"/>
          <w:sz w:val="24"/>
          <w:szCs w:val="24"/>
        </w:rPr>
        <w:t xml:space="preserve">etahui </w:t>
      </w:r>
      <w:r w:rsidRPr="00A34782">
        <w:rPr>
          <w:rFonts w:ascii="Times New Roman" w:eastAsia="Times New Roman" w:hAnsi="Times New Roman" w:cs="Times New Roman"/>
          <w:sz w:val="24"/>
          <w:szCs w:val="24"/>
          <w:lang w:val="en-US"/>
        </w:rPr>
        <w:t>keputusan apa</w:t>
      </w:r>
      <w:r w:rsidRPr="00A34782">
        <w:rPr>
          <w:rFonts w:ascii="Times New Roman" w:eastAsia="Times New Roman" w:hAnsi="Times New Roman" w:cs="Times New Roman"/>
          <w:sz w:val="24"/>
          <w:szCs w:val="24"/>
        </w:rPr>
        <w:t xml:space="preserve"> yang perlu di</w:t>
      </w:r>
      <w:r w:rsidRPr="00A34782">
        <w:rPr>
          <w:rFonts w:ascii="Times New Roman" w:eastAsia="Times New Roman" w:hAnsi="Times New Roman" w:cs="Times New Roman"/>
          <w:sz w:val="24"/>
          <w:szCs w:val="24"/>
          <w:lang w:val="en-US"/>
        </w:rPr>
        <w:t>ambil</w:t>
      </w:r>
      <w:r w:rsidRPr="00A34782">
        <w:rPr>
          <w:rFonts w:ascii="Times New Roman" w:eastAsia="Times New Roman" w:hAnsi="Times New Roman" w:cs="Times New Roman"/>
          <w:sz w:val="24"/>
          <w:szCs w:val="24"/>
        </w:rPr>
        <w:t xml:space="preserve"> perusahaan sehubungan dengan informasi keuangan yang terbatas. Manajer dapat mempelajari kekuatan dan kelemahan perusahaan di bidang keuangan d</w:t>
      </w:r>
      <w:r w:rsidRPr="00A34782">
        <w:rPr>
          <w:rFonts w:ascii="Times New Roman" w:eastAsia="Times New Roman" w:hAnsi="Times New Roman" w:cs="Times New Roman"/>
          <w:sz w:val="24"/>
          <w:szCs w:val="24"/>
          <w:lang w:val="en-US"/>
        </w:rPr>
        <w:t>an apa yang akan dilakukan untuk mengatasi kelemahan tersebut</w:t>
      </w:r>
      <w:r w:rsidR="00465ECD">
        <w:rPr>
          <w:rFonts w:ascii="Times New Roman" w:eastAsia="Times New Roman" w:hAnsi="Times New Roman" w:cs="Times New Roman"/>
          <w:sz w:val="24"/>
          <w:szCs w:val="24"/>
        </w:rPr>
        <w:t>.</w:t>
      </w:r>
      <w:r w:rsidR="00BE6227">
        <w:rPr>
          <w:rFonts w:ascii="Times New Roman" w:eastAsia="Times New Roman" w:hAnsi="Times New Roman" w:cs="Times New Roman"/>
          <w:sz w:val="24"/>
          <w:szCs w:val="24"/>
        </w:rPr>
        <w:t xml:space="preserve"> </w:t>
      </w:r>
      <w:r w:rsidRPr="00A34782">
        <w:rPr>
          <w:rFonts w:ascii="Times New Roman" w:eastAsia="Times New Roman" w:hAnsi="Times New Roman" w:cs="Times New Roman"/>
          <w:sz w:val="24"/>
          <w:szCs w:val="24"/>
        </w:rPr>
        <w:t xml:space="preserve">Kegunaan analisis rasio keuangan dapat mengidentifikasi kelemahan dari tahun-tahun sebelumnya. </w:t>
      </w:r>
      <w:r w:rsidR="00465ECD">
        <w:rPr>
          <w:rFonts w:ascii="Times New Roman" w:eastAsia="Times New Roman" w:hAnsi="Times New Roman" w:cs="Times New Roman"/>
          <w:sz w:val="24"/>
          <w:szCs w:val="24"/>
        </w:rPr>
        <w:t>Dan</w:t>
      </w:r>
      <w:r w:rsidRPr="00A34782">
        <w:rPr>
          <w:rFonts w:ascii="Times New Roman" w:eastAsia="Times New Roman" w:hAnsi="Times New Roman" w:cs="Times New Roman"/>
          <w:sz w:val="24"/>
          <w:szCs w:val="24"/>
        </w:rPr>
        <w:t xml:space="preserve"> dapat memberikan gambaran apakah suatu perusahaan berada di atas rata-rata, di atas rata-rata, atau di bawah rata-rata pada dimensi keuangan tertentu. Ketika sebuah perusahaan mengetahui bahwa kinerja buruk, manajemen mencari faktor penyebabnya dan menerapkan kebijakan keuangan untuk meningkatkan kinerja keuangannya.</w:t>
      </w:r>
      <w:bookmarkStart w:id="3" w:name="_Toc120129228"/>
      <w:bookmarkStart w:id="4" w:name="_Toc121224763"/>
    </w:p>
    <w:p w:rsidR="00A34782" w:rsidRPr="00BE6227" w:rsidRDefault="00A34782" w:rsidP="00BE6227">
      <w:pPr>
        <w:spacing w:after="0" w:line="360" w:lineRule="auto"/>
        <w:jc w:val="both"/>
        <w:rPr>
          <w:rFonts w:ascii="Times New Roman" w:eastAsia="Times New Roman" w:hAnsi="Times New Roman" w:cs="Times New Roman"/>
          <w:sz w:val="24"/>
          <w:szCs w:val="24"/>
        </w:rPr>
      </w:pPr>
      <w:r w:rsidRPr="00A34782">
        <w:rPr>
          <w:rFonts w:ascii="Times New Roman" w:eastAsia="SimSun" w:hAnsi="Times New Roman" w:cs="Times New Roman"/>
          <w:b/>
          <w:bCs/>
          <w:color w:val="000000"/>
          <w:sz w:val="24"/>
          <w:szCs w:val="24"/>
        </w:rPr>
        <w:t>Analisis Time Series</w:t>
      </w:r>
      <w:bookmarkEnd w:id="3"/>
      <w:bookmarkEnd w:id="4"/>
    </w:p>
    <w:p w:rsidR="00A0352A" w:rsidRPr="00A0352A" w:rsidRDefault="00A34782" w:rsidP="00A0352A">
      <w:pPr>
        <w:spacing w:after="0" w:line="360" w:lineRule="auto"/>
        <w:ind w:firstLine="720"/>
        <w:jc w:val="both"/>
        <w:rPr>
          <w:rFonts w:ascii="Times New Roman" w:eastAsia="Times New Roman" w:hAnsi="Times New Roman" w:cs="Times New Roman"/>
          <w:color w:val="000000"/>
          <w:sz w:val="24"/>
          <w:szCs w:val="24"/>
          <w:lang w:val="en-US"/>
        </w:rPr>
      </w:pPr>
      <w:r w:rsidRPr="00A34782">
        <w:rPr>
          <w:rFonts w:ascii="Times New Roman" w:eastAsia="Times New Roman" w:hAnsi="Times New Roman" w:cs="Times New Roman"/>
          <w:color w:val="000000"/>
          <w:sz w:val="24"/>
          <w:szCs w:val="24"/>
        </w:rPr>
        <w:lastRenderedPageBreak/>
        <w:t>Time series</w:t>
      </w:r>
      <w:r w:rsidRPr="00A34782">
        <w:rPr>
          <w:rFonts w:ascii="Times New Roman" w:eastAsia="Times New Roman" w:hAnsi="Times New Roman" w:cs="Times New Roman"/>
          <w:color w:val="000000"/>
          <w:sz w:val="24"/>
          <w:szCs w:val="24"/>
          <w:lang w:val="en-US"/>
        </w:rPr>
        <w:t xml:space="preserve"> adalah kumpulan pengamatan periodik atas peristiwa, kejadian, atau variabel yang dikumpulkan dengan cermat berdasarkan frekuensi dan kemudian digabungkan menjadi data statistik.</w:t>
      </w:r>
      <w:r w:rsidR="00A0352A">
        <w:rPr>
          <w:rFonts w:ascii="Times New Roman" w:eastAsia="Times New Roman" w:hAnsi="Times New Roman" w:cs="Times New Roman"/>
          <w:color w:val="000000"/>
          <w:sz w:val="24"/>
          <w:szCs w:val="24"/>
        </w:rPr>
        <w:t xml:space="preserve"> </w:t>
      </w:r>
      <w:r w:rsidRPr="00A34782">
        <w:rPr>
          <w:rFonts w:ascii="Times New Roman" w:eastAsia="Times New Roman" w:hAnsi="Times New Roman" w:cs="Times New Roman"/>
          <w:color w:val="000000"/>
          <w:sz w:val="24"/>
          <w:szCs w:val="24"/>
        </w:rPr>
        <w:t>Time series</w:t>
      </w:r>
      <w:r w:rsidRPr="00A34782">
        <w:rPr>
          <w:rFonts w:ascii="Times New Roman" w:eastAsia="Times New Roman" w:hAnsi="Times New Roman" w:cs="Times New Roman"/>
          <w:color w:val="000000"/>
          <w:sz w:val="24"/>
          <w:szCs w:val="24"/>
          <w:lang w:val="en-US"/>
        </w:rPr>
        <w:t xml:space="preserve"> disebut model evolusioner dari suatu peristiwa, peristiwa, atau variabel. Jika perkembangan suatu peristiwa mengikuti pola yang teratur, peristiwa masa depan dapat diprediksi dengan menggunakan pola tersebut.</w:t>
      </w:r>
      <w:r w:rsidR="00A0352A">
        <w:rPr>
          <w:rFonts w:ascii="Times New Roman" w:eastAsia="Times New Roman" w:hAnsi="Times New Roman" w:cs="Times New Roman"/>
          <w:color w:val="000000"/>
          <w:sz w:val="24"/>
          <w:szCs w:val="24"/>
        </w:rPr>
        <w:t xml:space="preserve"> </w:t>
      </w:r>
      <w:r w:rsidRPr="00A34782">
        <w:rPr>
          <w:rFonts w:ascii="Times New Roman" w:eastAsia="Times New Roman" w:hAnsi="Times New Roman" w:cs="Times New Roman"/>
          <w:color w:val="000000"/>
          <w:sz w:val="24"/>
          <w:szCs w:val="24"/>
          <w:lang w:val="en-US"/>
        </w:rPr>
        <w:t xml:space="preserve">Pola pergerakan time series atau deret waktu dapat dikelompokkan menjadi 4 (empat) pola utama. Model ini biasanya disebut sebagai komponen deret waktu (time series component). </w:t>
      </w:r>
      <w:bookmarkStart w:id="5" w:name="_Toc120129232"/>
      <w:bookmarkStart w:id="6" w:name="_Toc121224767"/>
    </w:p>
    <w:p w:rsidR="00A34782" w:rsidRPr="00A0352A" w:rsidRDefault="00A34782" w:rsidP="00A0352A">
      <w:pPr>
        <w:spacing w:after="0" w:line="360" w:lineRule="auto"/>
        <w:jc w:val="both"/>
        <w:rPr>
          <w:rFonts w:ascii="Times New Roman" w:eastAsia="Times New Roman" w:hAnsi="Times New Roman" w:cs="Times New Roman"/>
          <w:sz w:val="24"/>
          <w:szCs w:val="24"/>
          <w:lang w:val="en-US"/>
        </w:rPr>
      </w:pPr>
      <w:r w:rsidRPr="00A34782">
        <w:rPr>
          <w:rFonts w:ascii="Times New Roman" w:eastAsia="SimSun" w:hAnsi="Times New Roman" w:cs="Times New Roman"/>
          <w:b/>
          <w:bCs/>
          <w:color w:val="000000"/>
          <w:sz w:val="24"/>
          <w:szCs w:val="24"/>
        </w:rPr>
        <w:t>Analisis Cross Section</w:t>
      </w:r>
      <w:bookmarkEnd w:id="5"/>
      <w:bookmarkEnd w:id="6"/>
    </w:p>
    <w:p w:rsidR="00A34782" w:rsidRPr="00A34782" w:rsidRDefault="00A34782" w:rsidP="00634260">
      <w:pPr>
        <w:keepNext/>
        <w:keepLines/>
        <w:spacing w:after="0" w:line="360" w:lineRule="auto"/>
        <w:ind w:firstLine="426"/>
        <w:jc w:val="both"/>
        <w:outlineLvl w:val="1"/>
        <w:rPr>
          <w:rFonts w:ascii="Times New Roman" w:eastAsia="SimSun" w:hAnsi="Times New Roman" w:cs="Times New Roman"/>
          <w:color w:val="000000"/>
          <w:sz w:val="24"/>
          <w:szCs w:val="24"/>
        </w:rPr>
      </w:pPr>
      <w:bookmarkStart w:id="7" w:name="_Toc120116553"/>
      <w:bookmarkStart w:id="8" w:name="_Toc120129233"/>
      <w:bookmarkStart w:id="9" w:name="_Toc121224555"/>
      <w:bookmarkStart w:id="10" w:name="_Toc121224768"/>
      <w:r w:rsidRPr="00A34782">
        <w:rPr>
          <w:rFonts w:ascii="Times New Roman" w:eastAsia="SimSun" w:hAnsi="Times New Roman" w:cs="Times New Roman"/>
          <w:color w:val="000000"/>
          <w:sz w:val="24"/>
          <w:szCs w:val="24"/>
        </w:rPr>
        <w:t>Analisis cross section merupakan mekanisme untuk membandingkan laporan keuangan suatu perusahaan dengan perusahaan atau industri yang sejenis dalam suatu periode tertentu.</w:t>
      </w:r>
      <w:bookmarkEnd w:id="7"/>
      <w:bookmarkEnd w:id="8"/>
      <w:bookmarkEnd w:id="9"/>
      <w:bookmarkEnd w:id="10"/>
    </w:p>
    <w:p w:rsidR="00A0352A" w:rsidRPr="00A0352A" w:rsidRDefault="00A34782" w:rsidP="00A0352A">
      <w:pPr>
        <w:keepNext/>
        <w:keepLines/>
        <w:spacing w:after="0" w:line="360" w:lineRule="auto"/>
        <w:jc w:val="both"/>
        <w:outlineLvl w:val="1"/>
        <w:rPr>
          <w:rFonts w:ascii="Times New Roman" w:eastAsia="SimSun" w:hAnsi="Times New Roman" w:cs="Times New Roman"/>
          <w:color w:val="000000"/>
          <w:sz w:val="24"/>
          <w:szCs w:val="24"/>
        </w:rPr>
      </w:pPr>
      <w:bookmarkStart w:id="11" w:name="_Toc120129234"/>
      <w:bookmarkStart w:id="12" w:name="_Toc121224556"/>
      <w:bookmarkStart w:id="13" w:name="_Toc121224769"/>
      <w:r w:rsidRPr="00A34782">
        <w:rPr>
          <w:rFonts w:ascii="Times New Roman" w:eastAsia="SimSun" w:hAnsi="Times New Roman" w:cs="Times New Roman"/>
          <w:bCs/>
          <w:color w:val="000000"/>
          <w:sz w:val="24"/>
          <w:szCs w:val="24"/>
        </w:rPr>
        <w:t>Perbandingan Cross Sectio</w:t>
      </w:r>
      <w:bookmarkEnd w:id="11"/>
      <w:bookmarkEnd w:id="12"/>
      <w:bookmarkEnd w:id="13"/>
      <w:r w:rsidRPr="00A34782">
        <w:rPr>
          <w:rFonts w:ascii="Times New Roman" w:eastAsia="SimSun" w:hAnsi="Times New Roman" w:cs="Times New Roman"/>
          <w:bCs/>
          <w:color w:val="000000"/>
          <w:sz w:val="24"/>
          <w:szCs w:val="24"/>
        </w:rPr>
        <w:t>n.</w:t>
      </w:r>
      <w:r w:rsidR="00A0352A">
        <w:rPr>
          <w:rFonts w:ascii="Times New Roman" w:eastAsia="SimSun" w:hAnsi="Times New Roman" w:cs="Times New Roman"/>
          <w:color w:val="000000"/>
          <w:sz w:val="24"/>
          <w:szCs w:val="24"/>
        </w:rPr>
        <w:t xml:space="preserve"> </w:t>
      </w:r>
      <w:r w:rsidRPr="00A34782">
        <w:rPr>
          <w:rFonts w:ascii="Times New Roman" w:hAnsi="Times New Roman" w:cs="Times New Roman"/>
          <w:sz w:val="24"/>
          <w:szCs w:val="24"/>
        </w:rPr>
        <w:t xml:space="preserve">Analisis cross-sectional berguna untuk menguji kinerja perusahaan dalam kaitannya dengan industri </w:t>
      </w:r>
      <w:r w:rsidRPr="00A34782">
        <w:rPr>
          <w:rFonts w:ascii="Times New Roman" w:hAnsi="Times New Roman" w:cs="Times New Roman"/>
          <w:sz w:val="24"/>
          <w:szCs w:val="24"/>
          <w:lang w:val="en-US"/>
        </w:rPr>
        <w:t>yang sejenis</w:t>
      </w:r>
      <w:r w:rsidRPr="00A34782">
        <w:rPr>
          <w:rFonts w:ascii="Times New Roman" w:hAnsi="Times New Roman" w:cs="Times New Roman"/>
          <w:sz w:val="24"/>
          <w:szCs w:val="24"/>
        </w:rPr>
        <w:t xml:space="preserve">. Industri sejenis umumnya memiliki satu atau lebih faktor yang sama dengan perusahaan. </w:t>
      </w:r>
    </w:p>
    <w:p w:rsidR="00A34782" w:rsidRPr="00A34782" w:rsidRDefault="00A34782" w:rsidP="00A0352A">
      <w:pPr>
        <w:spacing w:after="0" w:line="360" w:lineRule="auto"/>
        <w:ind w:firstLine="720"/>
        <w:contextualSpacing/>
        <w:jc w:val="both"/>
        <w:rPr>
          <w:rFonts w:ascii="Times New Roman" w:hAnsi="Times New Roman" w:cs="Times New Roman"/>
          <w:sz w:val="24"/>
          <w:szCs w:val="24"/>
        </w:rPr>
      </w:pPr>
      <w:r w:rsidRPr="00A34782">
        <w:rPr>
          <w:rFonts w:ascii="Times New Roman" w:hAnsi="Times New Roman" w:cs="Times New Roman"/>
          <w:sz w:val="24"/>
          <w:szCs w:val="24"/>
        </w:rPr>
        <w:t>Untuk menghitung rata-rata industri, seorang analis mempunyai beberapa alternatif,antara lain</w:t>
      </w:r>
      <w:r w:rsidR="00A0352A">
        <w:rPr>
          <w:rFonts w:ascii="Times New Roman" w:hAnsi="Times New Roman" w:cs="Times New Roman"/>
          <w:sz w:val="24"/>
          <w:szCs w:val="24"/>
        </w:rPr>
        <w:t xml:space="preserve"> : m</w:t>
      </w:r>
      <w:r w:rsidRPr="00A34782">
        <w:rPr>
          <w:rFonts w:ascii="Times New Roman" w:hAnsi="Times New Roman" w:cs="Times New Roman"/>
          <w:sz w:val="24"/>
          <w:szCs w:val="24"/>
        </w:rPr>
        <w:t>enghitung nilai tunggal sebagai perbandingan,</w:t>
      </w:r>
      <w:r w:rsidR="00A0352A">
        <w:rPr>
          <w:rFonts w:ascii="Times New Roman" w:hAnsi="Times New Roman" w:cs="Times New Roman"/>
          <w:sz w:val="24"/>
          <w:szCs w:val="24"/>
        </w:rPr>
        <w:t xml:space="preserve"> m</w:t>
      </w:r>
      <w:r w:rsidRPr="00A34782">
        <w:rPr>
          <w:rFonts w:ascii="Times New Roman" w:hAnsi="Times New Roman" w:cs="Times New Roman"/>
          <w:sz w:val="24"/>
          <w:szCs w:val="24"/>
        </w:rPr>
        <w:t>enghitung nilai tunggal dengan dispersinya (standar deviasi),</w:t>
      </w:r>
      <w:r w:rsidR="00A0352A">
        <w:rPr>
          <w:rFonts w:ascii="Times New Roman" w:hAnsi="Times New Roman" w:cs="Times New Roman"/>
          <w:sz w:val="24"/>
          <w:szCs w:val="24"/>
        </w:rPr>
        <w:t xml:space="preserve"> m</w:t>
      </w:r>
      <w:r w:rsidRPr="00A34782">
        <w:rPr>
          <w:rFonts w:ascii="Times New Roman" w:hAnsi="Times New Roman" w:cs="Times New Roman"/>
          <w:sz w:val="24"/>
          <w:szCs w:val="24"/>
        </w:rPr>
        <w:t>enghitung nilai untuk percentile tertentu</w:t>
      </w:r>
      <w:r w:rsidR="00A0352A">
        <w:rPr>
          <w:rFonts w:ascii="Times New Roman" w:hAnsi="Times New Roman" w:cs="Times New Roman"/>
          <w:sz w:val="24"/>
          <w:szCs w:val="24"/>
        </w:rPr>
        <w:t xml:space="preserve"> </w:t>
      </w:r>
      <w:r w:rsidRPr="00A34782">
        <w:rPr>
          <w:rFonts w:ascii="Times New Roman" w:hAnsi="Times New Roman" w:cs="Times New Roman"/>
          <w:sz w:val="24"/>
          <w:szCs w:val="24"/>
        </w:rPr>
        <w:t xml:space="preserve">Untuk perhitungan yang menggunakan nilai tunggal sebagai pembanding, dapat menggunakan beberapa pilihan yaitu </w:t>
      </w:r>
      <w:r w:rsidR="00A0352A">
        <w:rPr>
          <w:rFonts w:ascii="Times New Roman" w:hAnsi="Times New Roman" w:cs="Times New Roman"/>
          <w:sz w:val="24"/>
          <w:szCs w:val="24"/>
        </w:rPr>
        <w:t>m</w:t>
      </w:r>
      <w:r w:rsidRPr="00A34782">
        <w:rPr>
          <w:rFonts w:ascii="Times New Roman" w:hAnsi="Times New Roman" w:cs="Times New Roman"/>
          <w:sz w:val="24"/>
          <w:szCs w:val="24"/>
        </w:rPr>
        <w:t>enghitung rata-rata aritmatika,</w:t>
      </w:r>
      <w:r w:rsidR="00A0352A">
        <w:rPr>
          <w:rFonts w:ascii="Times New Roman" w:hAnsi="Times New Roman" w:cs="Times New Roman"/>
          <w:sz w:val="24"/>
          <w:szCs w:val="24"/>
        </w:rPr>
        <w:t xml:space="preserve"> m</w:t>
      </w:r>
      <w:r w:rsidRPr="00A34782">
        <w:rPr>
          <w:rFonts w:ascii="Times New Roman" w:hAnsi="Times New Roman" w:cs="Times New Roman"/>
          <w:sz w:val="24"/>
          <w:szCs w:val="24"/>
        </w:rPr>
        <w:t>enghitung rata-rata tertimbang,</w:t>
      </w:r>
      <w:r w:rsidR="00A0352A">
        <w:rPr>
          <w:rFonts w:ascii="Times New Roman" w:hAnsi="Times New Roman" w:cs="Times New Roman"/>
          <w:sz w:val="24"/>
          <w:szCs w:val="24"/>
        </w:rPr>
        <w:t xml:space="preserve"> m</w:t>
      </w:r>
      <w:r w:rsidRPr="00A34782">
        <w:rPr>
          <w:rFonts w:ascii="Times New Roman" w:hAnsi="Times New Roman" w:cs="Times New Roman"/>
          <w:sz w:val="24"/>
          <w:szCs w:val="24"/>
        </w:rPr>
        <w:t>enggunakan median,</w:t>
      </w:r>
      <w:r w:rsidR="00A0352A">
        <w:rPr>
          <w:rFonts w:ascii="Times New Roman" w:hAnsi="Times New Roman" w:cs="Times New Roman"/>
          <w:sz w:val="24"/>
          <w:szCs w:val="24"/>
        </w:rPr>
        <w:t>m</w:t>
      </w:r>
      <w:r w:rsidRPr="00A34782">
        <w:rPr>
          <w:rFonts w:ascii="Times New Roman" w:hAnsi="Times New Roman" w:cs="Times New Roman"/>
          <w:sz w:val="24"/>
          <w:szCs w:val="24"/>
        </w:rPr>
        <w:t>enggunakan modus</w:t>
      </w:r>
    </w:p>
    <w:p w:rsidR="00A34782" w:rsidRPr="00A34782" w:rsidRDefault="00A34782" w:rsidP="00634260">
      <w:pPr>
        <w:spacing w:after="0" w:line="360" w:lineRule="auto"/>
        <w:jc w:val="both"/>
        <w:rPr>
          <w:rFonts w:ascii="Times New Roman" w:hAnsi="Times New Roman" w:cs="Times New Roman"/>
          <w:sz w:val="24"/>
          <w:szCs w:val="24"/>
        </w:rPr>
      </w:pPr>
      <w:r w:rsidRPr="00A34782">
        <w:rPr>
          <w:rFonts w:ascii="Times New Roman" w:hAnsi="Times New Roman" w:cs="Times New Roman"/>
          <w:b/>
          <w:sz w:val="24"/>
          <w:szCs w:val="24"/>
        </w:rPr>
        <w:t>METODE PENELITIAN</w:t>
      </w:r>
    </w:p>
    <w:p w:rsidR="00A30E0B" w:rsidRPr="00A30E0B" w:rsidRDefault="00A34782" w:rsidP="00634260">
      <w:pPr>
        <w:tabs>
          <w:tab w:val="left" w:pos="2977"/>
        </w:tabs>
        <w:spacing w:after="0" w:line="360" w:lineRule="auto"/>
        <w:ind w:firstLine="720"/>
        <w:jc w:val="both"/>
        <w:rPr>
          <w:rFonts w:ascii="Times New Roman" w:hAnsi="Times New Roman" w:cs="Times New Roman"/>
          <w:sz w:val="24"/>
          <w:szCs w:val="24"/>
        </w:rPr>
      </w:pPr>
      <w:r w:rsidRPr="00A34782">
        <w:rPr>
          <w:rFonts w:ascii="Times New Roman" w:hAnsi="Times New Roman" w:cs="Times New Roman"/>
          <w:sz w:val="24"/>
          <w:szCs w:val="24"/>
        </w:rPr>
        <w:t>Penelitian dila</w:t>
      </w:r>
      <w:r w:rsidRPr="00A34782">
        <w:rPr>
          <w:rFonts w:ascii="Times New Roman" w:hAnsi="Times New Roman" w:cs="Times New Roman"/>
          <w:sz w:val="24"/>
          <w:szCs w:val="24"/>
          <w:lang w:val="en-US"/>
        </w:rPr>
        <w:t>kukan secara online dengan men</w:t>
      </w:r>
      <w:r w:rsidRPr="00A34782">
        <w:rPr>
          <w:rFonts w:ascii="Times New Roman" w:hAnsi="Times New Roman" w:cs="Times New Roman"/>
          <w:sz w:val="24"/>
          <w:szCs w:val="24"/>
        </w:rPr>
        <w:t xml:space="preserve">ggunakan informasi </w:t>
      </w:r>
      <w:r w:rsidRPr="00A34782">
        <w:rPr>
          <w:rFonts w:ascii="Times New Roman" w:hAnsi="Times New Roman" w:cs="Times New Roman"/>
          <w:sz w:val="24"/>
          <w:szCs w:val="24"/>
          <w:lang w:val="en-US"/>
        </w:rPr>
        <w:t xml:space="preserve"> yang di</w:t>
      </w:r>
      <w:r w:rsidRPr="00A34782">
        <w:rPr>
          <w:rFonts w:ascii="Times New Roman" w:hAnsi="Times New Roman" w:cs="Times New Roman"/>
          <w:sz w:val="24"/>
          <w:szCs w:val="24"/>
        </w:rPr>
        <w:t>peroleh</w:t>
      </w:r>
      <w:r w:rsidRPr="00A34782">
        <w:rPr>
          <w:rFonts w:ascii="Times New Roman" w:hAnsi="Times New Roman" w:cs="Times New Roman"/>
          <w:sz w:val="24"/>
          <w:szCs w:val="24"/>
          <w:lang w:val="en-US"/>
        </w:rPr>
        <w:t xml:space="preserve"> melalui </w:t>
      </w:r>
      <w:r w:rsidRPr="00A34782">
        <w:rPr>
          <w:rFonts w:ascii="Times New Roman" w:hAnsi="Times New Roman" w:cs="Times New Roman"/>
          <w:sz w:val="24"/>
          <w:szCs w:val="24"/>
        </w:rPr>
        <w:t xml:space="preserve"> website </w:t>
      </w:r>
      <w:r w:rsidRPr="00A34782">
        <w:rPr>
          <w:rFonts w:ascii="Times New Roman" w:hAnsi="Times New Roman" w:cs="Times New Roman"/>
          <w:sz w:val="24"/>
          <w:szCs w:val="24"/>
          <w:lang w:val="en-US"/>
        </w:rPr>
        <w:t>resmi</w:t>
      </w:r>
      <w:r w:rsidRPr="00A34782">
        <w:rPr>
          <w:rFonts w:ascii="Times New Roman" w:hAnsi="Times New Roman" w:cs="Times New Roman"/>
          <w:sz w:val="24"/>
          <w:szCs w:val="24"/>
        </w:rPr>
        <w:t xml:space="preserve"> perusahaan yaitu </w:t>
      </w:r>
      <w:hyperlink r:id="rId9" w:history="1">
        <w:r w:rsidRPr="001D044D">
          <w:rPr>
            <w:rFonts w:ascii="Times New Roman" w:hAnsi="Times New Roman" w:cs="Times New Roman"/>
            <w:color w:val="0000FF"/>
            <w:sz w:val="24"/>
            <w:szCs w:val="24"/>
            <w:u w:val="single"/>
          </w:rPr>
          <w:t>www.phapros.co.id</w:t>
        </w:r>
      </w:hyperlink>
      <w:r w:rsidRPr="00A34782">
        <w:rPr>
          <w:rFonts w:ascii="Times New Roman" w:hAnsi="Times New Roman" w:cs="Times New Roman"/>
          <w:sz w:val="24"/>
          <w:szCs w:val="24"/>
        </w:rPr>
        <w:t xml:space="preserve"> , </w:t>
      </w:r>
      <w:hyperlink r:id="rId10" w:history="1">
        <w:r w:rsidRPr="001D044D">
          <w:rPr>
            <w:rFonts w:ascii="Times New Roman" w:hAnsi="Times New Roman" w:cs="Times New Roman"/>
            <w:color w:val="0000FF"/>
            <w:sz w:val="24"/>
            <w:szCs w:val="24"/>
            <w:u w:val="single"/>
          </w:rPr>
          <w:t>www.sidomuncul.co.id</w:t>
        </w:r>
      </w:hyperlink>
      <w:r w:rsidRPr="00A34782">
        <w:rPr>
          <w:rFonts w:ascii="Times New Roman" w:hAnsi="Times New Roman" w:cs="Times New Roman"/>
          <w:sz w:val="24"/>
          <w:szCs w:val="24"/>
        </w:rPr>
        <w:t xml:space="preserve"> , </w:t>
      </w:r>
      <w:hyperlink r:id="rId11" w:history="1">
        <w:r w:rsidRPr="001D044D">
          <w:rPr>
            <w:rFonts w:ascii="Times New Roman" w:hAnsi="Times New Roman" w:cs="Times New Roman"/>
            <w:color w:val="0000FF"/>
            <w:sz w:val="24"/>
            <w:szCs w:val="24"/>
            <w:u w:val="single"/>
          </w:rPr>
          <w:t>www.merckgroup.com</w:t>
        </w:r>
      </w:hyperlink>
      <w:r w:rsidRPr="00A34782">
        <w:rPr>
          <w:rFonts w:ascii="Times New Roman" w:hAnsi="Times New Roman" w:cs="Times New Roman"/>
          <w:sz w:val="24"/>
          <w:szCs w:val="24"/>
        </w:rPr>
        <w:t xml:space="preserve"> , </w:t>
      </w:r>
      <w:hyperlink r:id="rId12" w:history="1">
        <w:r w:rsidRPr="001D044D">
          <w:rPr>
            <w:rFonts w:ascii="Times New Roman" w:hAnsi="Times New Roman" w:cs="Times New Roman"/>
            <w:color w:val="0000FF"/>
            <w:sz w:val="24"/>
            <w:szCs w:val="24"/>
            <w:u w:val="single"/>
          </w:rPr>
          <w:t>www.pyfa.co.id</w:t>
        </w:r>
      </w:hyperlink>
      <w:r w:rsidR="001E2FD5">
        <w:rPr>
          <w:rFonts w:ascii="Times New Roman" w:hAnsi="Times New Roman" w:cs="Times New Roman"/>
          <w:sz w:val="24"/>
          <w:szCs w:val="24"/>
        </w:rPr>
        <w:t xml:space="preserve">. </w:t>
      </w:r>
      <w:r w:rsidRPr="00A34782">
        <w:rPr>
          <w:rFonts w:ascii="Times New Roman" w:hAnsi="Times New Roman" w:cs="Times New Roman"/>
          <w:sz w:val="24"/>
          <w:szCs w:val="24"/>
        </w:rPr>
        <w:t xml:space="preserve">Penelitian dilakukan </w:t>
      </w:r>
      <w:r w:rsidRPr="00A34782">
        <w:rPr>
          <w:rFonts w:ascii="Times New Roman" w:hAnsi="Times New Roman" w:cs="Times New Roman"/>
          <w:sz w:val="24"/>
          <w:szCs w:val="24"/>
          <w:lang w:val="en-US"/>
        </w:rPr>
        <w:t>dimulai</w:t>
      </w:r>
      <w:r w:rsidRPr="00A34782">
        <w:rPr>
          <w:rFonts w:ascii="Times New Roman" w:hAnsi="Times New Roman" w:cs="Times New Roman"/>
          <w:sz w:val="24"/>
          <w:szCs w:val="24"/>
        </w:rPr>
        <w:t xml:space="preserve"> dari perencanaan penelitian, pelaksanaan penelitian </w:t>
      </w:r>
      <w:r w:rsidRPr="00A34782">
        <w:rPr>
          <w:rFonts w:ascii="Times New Roman" w:hAnsi="Times New Roman" w:cs="Times New Roman"/>
          <w:sz w:val="24"/>
          <w:szCs w:val="24"/>
          <w:lang w:val="en-US"/>
        </w:rPr>
        <w:t xml:space="preserve">hingga </w:t>
      </w:r>
      <w:r w:rsidRPr="00A34782">
        <w:rPr>
          <w:rFonts w:ascii="Times New Roman" w:hAnsi="Times New Roman" w:cs="Times New Roman"/>
          <w:sz w:val="24"/>
          <w:szCs w:val="24"/>
        </w:rPr>
        <w:t>penyusunan laporan penelitian. Penelitian di</w:t>
      </w:r>
      <w:r w:rsidRPr="00A34782">
        <w:rPr>
          <w:rFonts w:ascii="Times New Roman" w:hAnsi="Times New Roman" w:cs="Times New Roman"/>
          <w:sz w:val="24"/>
          <w:szCs w:val="24"/>
          <w:lang w:val="en-US"/>
        </w:rPr>
        <w:t xml:space="preserve">selenggarakan </w:t>
      </w:r>
      <w:r w:rsidRPr="00A34782">
        <w:rPr>
          <w:rFonts w:ascii="Times New Roman" w:hAnsi="Times New Roman" w:cs="Times New Roman"/>
          <w:sz w:val="24"/>
          <w:szCs w:val="24"/>
        </w:rPr>
        <w:t>di bulan September 2022 sampai dengan bulan November 2022.</w:t>
      </w:r>
      <w:r w:rsidR="001E2FD5">
        <w:rPr>
          <w:rFonts w:ascii="Times New Roman" w:hAnsi="Times New Roman" w:cs="Times New Roman"/>
          <w:sz w:val="24"/>
          <w:szCs w:val="24"/>
        </w:rPr>
        <w:t xml:space="preserve"> </w:t>
      </w:r>
      <w:r w:rsidRPr="00A34782">
        <w:rPr>
          <w:rFonts w:ascii="Times New Roman" w:eastAsia="Times New Roman" w:hAnsi="Times New Roman" w:cs="Times New Roman"/>
          <w:sz w:val="24"/>
          <w:szCs w:val="24"/>
          <w:lang w:val="en-US"/>
        </w:rPr>
        <w:t>Penelitian ini menggunakan jenis data</w:t>
      </w:r>
      <w:r w:rsidRPr="00A34782">
        <w:rPr>
          <w:rFonts w:ascii="Times New Roman" w:eastAsia="Times New Roman" w:hAnsi="Times New Roman" w:cs="Times New Roman"/>
          <w:sz w:val="24"/>
          <w:szCs w:val="24"/>
        </w:rPr>
        <w:t xml:space="preserve"> </w:t>
      </w:r>
      <w:r w:rsidRPr="00A34782">
        <w:rPr>
          <w:rFonts w:ascii="Times New Roman" w:eastAsia="Times New Roman" w:hAnsi="Times New Roman" w:cs="Times New Roman"/>
          <w:sz w:val="24"/>
          <w:szCs w:val="24"/>
          <w:lang w:val="en-US"/>
        </w:rPr>
        <w:t>kualitatif. Data ini berfungsi untuk men</w:t>
      </w:r>
      <w:r w:rsidRPr="00A34782">
        <w:rPr>
          <w:rFonts w:ascii="Times New Roman" w:eastAsia="Times New Roman" w:hAnsi="Times New Roman" w:cs="Times New Roman"/>
          <w:sz w:val="24"/>
          <w:szCs w:val="24"/>
        </w:rPr>
        <w:t>gubah</w:t>
      </w:r>
      <w:r w:rsidRPr="00A34782">
        <w:rPr>
          <w:rFonts w:ascii="Times New Roman" w:eastAsia="Times New Roman" w:hAnsi="Times New Roman" w:cs="Times New Roman"/>
          <w:sz w:val="24"/>
          <w:szCs w:val="24"/>
          <w:lang w:val="en-US"/>
        </w:rPr>
        <w:t xml:space="preserve"> data mentah </w:t>
      </w:r>
      <w:r w:rsidRPr="00A34782">
        <w:rPr>
          <w:rFonts w:ascii="Times New Roman" w:eastAsia="Times New Roman" w:hAnsi="Times New Roman" w:cs="Times New Roman"/>
          <w:sz w:val="24"/>
          <w:szCs w:val="24"/>
        </w:rPr>
        <w:t>menjadi deskripsi</w:t>
      </w:r>
      <w:r w:rsidRPr="00A34782">
        <w:rPr>
          <w:rFonts w:ascii="Times New Roman" w:eastAsia="Times New Roman" w:hAnsi="Times New Roman" w:cs="Times New Roman"/>
          <w:sz w:val="24"/>
          <w:szCs w:val="24"/>
          <w:lang w:val="en-US"/>
        </w:rPr>
        <w:t xml:space="preserve"> dan penjel</w:t>
      </w:r>
      <w:r w:rsidR="00A33638">
        <w:rPr>
          <w:rFonts w:ascii="Times New Roman" w:eastAsia="Times New Roman" w:hAnsi="Times New Roman" w:cs="Times New Roman"/>
          <w:sz w:val="24"/>
          <w:szCs w:val="24"/>
          <w:lang w:val="en-US"/>
        </w:rPr>
        <w:t>asan yang lebih mudah dipahami</w:t>
      </w:r>
      <w:r w:rsidR="00A33638">
        <w:rPr>
          <w:rFonts w:ascii="Times New Roman" w:eastAsia="Times New Roman" w:hAnsi="Times New Roman" w:cs="Times New Roman"/>
          <w:sz w:val="24"/>
          <w:szCs w:val="24"/>
        </w:rPr>
        <w:t xml:space="preserve">. </w:t>
      </w:r>
      <w:r w:rsidRPr="00A34782">
        <w:rPr>
          <w:rFonts w:ascii="Times New Roman" w:hAnsi="Times New Roman" w:cs="Times New Roman"/>
          <w:sz w:val="24"/>
          <w:szCs w:val="24"/>
        </w:rPr>
        <w:t xml:space="preserve">Sumber data </w:t>
      </w:r>
      <w:r w:rsidRPr="00A34782">
        <w:rPr>
          <w:rFonts w:ascii="Times New Roman" w:hAnsi="Times New Roman" w:cs="Times New Roman"/>
          <w:sz w:val="24"/>
          <w:szCs w:val="24"/>
          <w:lang w:val="en-US"/>
        </w:rPr>
        <w:t>pada</w:t>
      </w:r>
      <w:r w:rsidRPr="00A34782">
        <w:rPr>
          <w:rFonts w:ascii="Times New Roman" w:hAnsi="Times New Roman" w:cs="Times New Roman"/>
          <w:sz w:val="24"/>
          <w:szCs w:val="24"/>
        </w:rPr>
        <w:t xml:space="preserve"> </w:t>
      </w:r>
      <w:r w:rsidRPr="00A34782">
        <w:rPr>
          <w:rFonts w:ascii="Times New Roman" w:hAnsi="Times New Roman" w:cs="Times New Roman"/>
          <w:sz w:val="24"/>
          <w:szCs w:val="24"/>
          <w:lang w:val="en-US"/>
        </w:rPr>
        <w:t>penelitian</w:t>
      </w:r>
      <w:r w:rsidRPr="00A34782">
        <w:rPr>
          <w:rFonts w:ascii="Times New Roman" w:hAnsi="Times New Roman" w:cs="Times New Roman"/>
          <w:sz w:val="24"/>
          <w:szCs w:val="24"/>
        </w:rPr>
        <w:t xml:space="preserve"> ini </w:t>
      </w:r>
      <w:r w:rsidRPr="00A34782">
        <w:rPr>
          <w:rFonts w:ascii="Times New Roman" w:hAnsi="Times New Roman" w:cs="Times New Roman"/>
          <w:sz w:val="24"/>
          <w:szCs w:val="24"/>
          <w:lang w:val="en-US"/>
        </w:rPr>
        <w:t>menggunakan</w:t>
      </w:r>
      <w:r w:rsidRPr="00A34782">
        <w:rPr>
          <w:rFonts w:ascii="Times New Roman" w:hAnsi="Times New Roman" w:cs="Times New Roman"/>
          <w:sz w:val="24"/>
          <w:szCs w:val="24"/>
        </w:rPr>
        <w:t xml:space="preserve"> data sekunder, </w:t>
      </w:r>
      <w:r w:rsidRPr="00A34782">
        <w:rPr>
          <w:rFonts w:ascii="Times New Roman" w:hAnsi="Times New Roman" w:cs="Times New Roman"/>
          <w:sz w:val="24"/>
          <w:szCs w:val="24"/>
          <w:lang w:val="en-US"/>
        </w:rPr>
        <w:t xml:space="preserve">yaitu </w:t>
      </w:r>
      <w:r w:rsidRPr="00A34782">
        <w:rPr>
          <w:rFonts w:ascii="Times New Roman" w:hAnsi="Times New Roman" w:cs="Times New Roman"/>
          <w:sz w:val="24"/>
          <w:szCs w:val="24"/>
        </w:rPr>
        <w:t xml:space="preserve">data laporan keuangan tahunan </w:t>
      </w:r>
      <w:r w:rsidRPr="00A34782">
        <w:rPr>
          <w:rFonts w:ascii="Times New Roman" w:hAnsi="Times New Roman" w:cs="Times New Roman"/>
          <w:sz w:val="24"/>
          <w:szCs w:val="24"/>
          <w:lang w:val="en-US"/>
        </w:rPr>
        <w:t xml:space="preserve"> yang diperoleh dari web resmi perusahaan yaitu </w:t>
      </w:r>
      <w:r w:rsidRPr="00A34782">
        <w:rPr>
          <w:rFonts w:ascii="Times New Roman" w:hAnsi="Times New Roman" w:cs="Times New Roman"/>
          <w:sz w:val="24"/>
          <w:szCs w:val="24"/>
        </w:rPr>
        <w:t>dari</w:t>
      </w:r>
      <w:r w:rsidR="001E2FD5">
        <w:rPr>
          <w:rFonts w:ascii="Times New Roman" w:hAnsi="Times New Roman" w:cs="Times New Roman"/>
          <w:sz w:val="24"/>
          <w:szCs w:val="24"/>
        </w:rPr>
        <w:t xml:space="preserve"> PT Phapros Tbk, PT industri Jamu &amp; Farmasi Sido Muncul Tbk, PT Merck Indonesia, PT Pyridam Farma Tbk. </w:t>
      </w:r>
      <w:r w:rsidR="00241A9D" w:rsidRPr="001E2FD5">
        <w:rPr>
          <w:rFonts w:ascii="Times New Roman" w:hAnsi="Times New Roman" w:cs="Times New Roman"/>
          <w:sz w:val="24"/>
          <w:szCs w:val="24"/>
        </w:rPr>
        <w:t xml:space="preserve">Pada artikel ini kami menggunakan metode deskriptif kualitatif. Data penelitian yang kami ambil diperoleh dari web Bursa Efek Indonesia dan web resmi perusahaan. Adapun masalah yang dapat dikaji dan diteliti melalui penelitian deskriptif kualitatif ini berkaitan dengan studi kuantitatif, studi komparatif </w:t>
      </w:r>
      <w:r w:rsidR="00241A9D" w:rsidRPr="001E2FD5">
        <w:rPr>
          <w:rFonts w:ascii="Times New Roman" w:hAnsi="Times New Roman" w:cs="Times New Roman"/>
          <w:sz w:val="24"/>
          <w:szCs w:val="24"/>
        </w:rPr>
        <w:lastRenderedPageBreak/>
        <w:t>(perbandingan), serta dapat juga menjadi sebuah studi korelasional (hubungan) antara satu unsur dengan unsur lainnya.</w:t>
      </w:r>
      <w:r w:rsidR="001E2FD5" w:rsidRPr="001E2FD5">
        <w:rPr>
          <w:rFonts w:ascii="Times New Roman" w:hAnsi="Times New Roman" w:cs="Times New Roman"/>
          <w:sz w:val="24"/>
          <w:szCs w:val="24"/>
        </w:rPr>
        <w:t xml:space="preserve"> </w:t>
      </w:r>
      <w:r w:rsidR="00241A9D" w:rsidRPr="001E2FD5">
        <w:rPr>
          <w:rFonts w:ascii="Times New Roman" w:hAnsi="Times New Roman" w:cs="Times New Roman"/>
          <w:sz w:val="24"/>
          <w:szCs w:val="24"/>
        </w:rPr>
        <w:t>Kegiatan penelitian ini meliputi pengumpulan data, analisis data, interpre</w:t>
      </w:r>
      <w:r w:rsidR="001E2FD5" w:rsidRPr="001E2FD5">
        <w:rPr>
          <w:rFonts w:ascii="Times New Roman" w:hAnsi="Times New Roman" w:cs="Times New Roman"/>
          <w:sz w:val="24"/>
          <w:szCs w:val="24"/>
        </w:rPr>
        <w:t>stasi data, dan terakhir adalah</w:t>
      </w:r>
      <w:r w:rsidR="00241A9D" w:rsidRPr="001E2FD5">
        <w:rPr>
          <w:rFonts w:ascii="Times New Roman" w:hAnsi="Times New Roman" w:cs="Times New Roman"/>
          <w:sz w:val="24"/>
          <w:szCs w:val="24"/>
        </w:rPr>
        <w:t xml:space="preserve"> merumuskan suatu kesimpulan terkait analisis data mengenai informasi tentang “Analisa Laporan Keuangan Pada Perusahaan PT Phapros Tbk, PT Industri Jamu dan Farmasi Sido Muncul Tbk, PT Merck Indonesia Tbk, PT Pyridam Farma Tbk”.</w:t>
      </w:r>
    </w:p>
    <w:p w:rsidR="00241A9D" w:rsidRPr="001D044D" w:rsidRDefault="00241A9D" w:rsidP="00634260">
      <w:pPr>
        <w:spacing w:after="0" w:line="360" w:lineRule="auto"/>
        <w:jc w:val="both"/>
        <w:rPr>
          <w:rFonts w:ascii="Times New Roman" w:hAnsi="Times New Roman" w:cs="Times New Roman"/>
          <w:b/>
          <w:sz w:val="24"/>
          <w:szCs w:val="24"/>
        </w:rPr>
        <w:sectPr w:rsidR="00241A9D" w:rsidRPr="001D044D" w:rsidSect="00CE35BC">
          <w:headerReference w:type="even" r:id="rId13"/>
          <w:headerReference w:type="default" r:id="rId14"/>
          <w:footerReference w:type="even" r:id="rId15"/>
          <w:headerReference w:type="first" r:id="rId16"/>
          <w:footerReference w:type="first" r:id="rId17"/>
          <w:pgSz w:w="11906" w:h="16838"/>
          <w:pgMar w:top="1440" w:right="1440" w:bottom="1440" w:left="1440" w:header="0" w:footer="0" w:gutter="0"/>
          <w:pgNumType w:start="33"/>
          <w:cols w:space="708"/>
          <w:titlePg/>
          <w:docGrid w:linePitch="360"/>
        </w:sectPr>
      </w:pPr>
    </w:p>
    <w:p w:rsidR="00241A9D" w:rsidRPr="001D044D" w:rsidRDefault="00241A9D" w:rsidP="00634260">
      <w:pPr>
        <w:spacing w:after="0" w:line="360" w:lineRule="auto"/>
        <w:jc w:val="both"/>
        <w:rPr>
          <w:rFonts w:ascii="Times New Roman" w:hAnsi="Times New Roman" w:cs="Times New Roman"/>
          <w:b/>
          <w:sz w:val="24"/>
          <w:szCs w:val="24"/>
        </w:rPr>
      </w:pPr>
      <w:r w:rsidRPr="001D044D">
        <w:rPr>
          <w:rFonts w:ascii="Times New Roman" w:hAnsi="Times New Roman" w:cs="Times New Roman"/>
          <w:b/>
          <w:sz w:val="24"/>
          <w:szCs w:val="24"/>
        </w:rPr>
        <w:lastRenderedPageBreak/>
        <w:t>HASIL PEMBAHASAN</w:t>
      </w:r>
    </w:p>
    <w:p w:rsidR="00241A9D" w:rsidRPr="001D044D" w:rsidRDefault="00241A9D" w:rsidP="00634260">
      <w:pPr>
        <w:spacing w:after="0"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Perhitungan Keempat Rasio Perusahaan</w:t>
      </w:r>
    </w:p>
    <w:tbl>
      <w:tblPr>
        <w:tblStyle w:val="TableGrid"/>
        <w:tblW w:w="9923" w:type="dxa"/>
        <w:tblInd w:w="-450" w:type="dxa"/>
        <w:tblLayout w:type="fixed"/>
        <w:tblLook w:val="04A0" w:firstRow="1" w:lastRow="0" w:firstColumn="1" w:lastColumn="0" w:noHBand="0" w:noVBand="1"/>
      </w:tblPr>
      <w:tblGrid>
        <w:gridCol w:w="3403"/>
        <w:gridCol w:w="708"/>
        <w:gridCol w:w="709"/>
        <w:gridCol w:w="709"/>
        <w:gridCol w:w="1134"/>
        <w:gridCol w:w="709"/>
        <w:gridCol w:w="708"/>
        <w:gridCol w:w="709"/>
        <w:gridCol w:w="1134"/>
      </w:tblGrid>
      <w:tr w:rsidR="006366A3" w:rsidRPr="001D044D" w:rsidTr="003D0CA7">
        <w:trPr>
          <w:trHeight w:val="716"/>
        </w:trPr>
        <w:tc>
          <w:tcPr>
            <w:tcW w:w="3403" w:type="dxa"/>
            <w:vMerge w:val="restart"/>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w:t>
            </w:r>
          </w:p>
        </w:tc>
        <w:tc>
          <w:tcPr>
            <w:tcW w:w="3260" w:type="dxa"/>
            <w:gridSpan w:val="4"/>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PT Phapros Tbk</w:t>
            </w:r>
          </w:p>
        </w:tc>
        <w:tc>
          <w:tcPr>
            <w:tcW w:w="3260" w:type="dxa"/>
            <w:gridSpan w:val="4"/>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PT Industri Jamu &amp; Farmasi Sido Muncul Tbk</w:t>
            </w:r>
          </w:p>
        </w:tc>
      </w:tr>
      <w:tr w:rsidR="006366A3" w:rsidRPr="001D044D" w:rsidTr="006366A3">
        <w:trPr>
          <w:trHeight w:val="263"/>
        </w:trPr>
        <w:tc>
          <w:tcPr>
            <w:tcW w:w="3403" w:type="dxa"/>
            <w:vMerge/>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p>
        </w:tc>
        <w:tc>
          <w:tcPr>
            <w:tcW w:w="3260" w:type="dxa"/>
            <w:gridSpan w:val="4"/>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Tahun</w:t>
            </w:r>
          </w:p>
        </w:tc>
        <w:tc>
          <w:tcPr>
            <w:tcW w:w="3260" w:type="dxa"/>
            <w:gridSpan w:val="4"/>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Tahun</w:t>
            </w:r>
          </w:p>
        </w:tc>
      </w:tr>
      <w:tr w:rsidR="006366A3" w:rsidRPr="001D044D" w:rsidTr="006366A3">
        <w:trPr>
          <w:trHeight w:val="397"/>
        </w:trPr>
        <w:tc>
          <w:tcPr>
            <w:tcW w:w="3403" w:type="dxa"/>
            <w:vMerge/>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p>
        </w:tc>
        <w:tc>
          <w:tcPr>
            <w:tcW w:w="708"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2021</w:t>
            </w:r>
          </w:p>
        </w:tc>
        <w:tc>
          <w:tcPr>
            <w:tcW w:w="709"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2020</w:t>
            </w:r>
          </w:p>
        </w:tc>
        <w:tc>
          <w:tcPr>
            <w:tcW w:w="709"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2019</w:t>
            </w:r>
          </w:p>
        </w:tc>
        <w:tc>
          <w:tcPr>
            <w:tcW w:w="1134"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Average</w:t>
            </w:r>
          </w:p>
        </w:tc>
        <w:tc>
          <w:tcPr>
            <w:tcW w:w="709"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2021</w:t>
            </w:r>
          </w:p>
        </w:tc>
        <w:tc>
          <w:tcPr>
            <w:tcW w:w="708"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2020</w:t>
            </w:r>
          </w:p>
        </w:tc>
        <w:tc>
          <w:tcPr>
            <w:tcW w:w="709"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2019</w:t>
            </w:r>
          </w:p>
        </w:tc>
        <w:tc>
          <w:tcPr>
            <w:tcW w:w="1134" w:type="dxa"/>
            <w:shd w:val="clear" w:color="auto" w:fill="F79646"/>
            <w:vAlign w:val="center"/>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Average</w:t>
            </w:r>
          </w:p>
        </w:tc>
      </w:tr>
      <w:tr w:rsidR="006366A3" w:rsidRPr="001D044D" w:rsidTr="006366A3">
        <w:trPr>
          <w:trHeight w:val="269"/>
        </w:trPr>
        <w:tc>
          <w:tcPr>
            <w:tcW w:w="3403"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LIKUIDITAS</w:t>
            </w:r>
          </w:p>
        </w:tc>
        <w:tc>
          <w:tcPr>
            <w:tcW w:w="708" w:type="dxa"/>
          </w:tcPr>
          <w:p w:rsidR="006366A3" w:rsidRPr="001D044D" w:rsidRDefault="006366A3" w:rsidP="00634260">
            <w:pPr>
              <w:spacing w:line="360" w:lineRule="auto"/>
              <w:jc w:val="both"/>
              <w:rPr>
                <w:rFonts w:ascii="Times New Roman" w:hAnsi="Times New Roman" w:cs="Times New Roman"/>
                <w:b/>
                <w:sz w:val="24"/>
                <w:szCs w:val="24"/>
              </w:rPr>
            </w:pPr>
          </w:p>
        </w:tc>
        <w:tc>
          <w:tcPr>
            <w:tcW w:w="709" w:type="dxa"/>
          </w:tcPr>
          <w:p w:rsidR="006366A3" w:rsidRPr="001D044D" w:rsidRDefault="006366A3" w:rsidP="00634260">
            <w:pPr>
              <w:spacing w:line="360" w:lineRule="auto"/>
              <w:jc w:val="both"/>
              <w:rPr>
                <w:rFonts w:ascii="Times New Roman" w:hAnsi="Times New Roman" w:cs="Times New Roman"/>
                <w:b/>
                <w:sz w:val="24"/>
                <w:szCs w:val="24"/>
              </w:rPr>
            </w:pPr>
          </w:p>
        </w:tc>
        <w:tc>
          <w:tcPr>
            <w:tcW w:w="709" w:type="dxa"/>
          </w:tcPr>
          <w:p w:rsidR="006366A3" w:rsidRPr="001D044D" w:rsidRDefault="006366A3" w:rsidP="00634260">
            <w:pPr>
              <w:spacing w:line="360" w:lineRule="auto"/>
              <w:jc w:val="both"/>
              <w:rPr>
                <w:rFonts w:ascii="Times New Roman" w:hAnsi="Times New Roman" w:cs="Times New Roman"/>
                <w:b/>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c>
          <w:tcPr>
            <w:tcW w:w="709" w:type="dxa"/>
          </w:tcPr>
          <w:p w:rsidR="006366A3" w:rsidRPr="001D044D" w:rsidRDefault="006366A3" w:rsidP="00634260">
            <w:pPr>
              <w:spacing w:line="360" w:lineRule="auto"/>
              <w:jc w:val="both"/>
              <w:rPr>
                <w:rFonts w:ascii="Times New Roman" w:hAnsi="Times New Roman" w:cs="Times New Roman"/>
                <w:b/>
                <w:sz w:val="24"/>
                <w:szCs w:val="24"/>
              </w:rPr>
            </w:pPr>
          </w:p>
        </w:tc>
        <w:tc>
          <w:tcPr>
            <w:tcW w:w="708" w:type="dxa"/>
          </w:tcPr>
          <w:p w:rsidR="006366A3" w:rsidRPr="001D044D" w:rsidRDefault="006366A3" w:rsidP="00634260">
            <w:pPr>
              <w:spacing w:line="360" w:lineRule="auto"/>
              <w:jc w:val="both"/>
              <w:rPr>
                <w:rFonts w:ascii="Times New Roman" w:hAnsi="Times New Roman" w:cs="Times New Roman"/>
                <w:b/>
                <w:sz w:val="24"/>
                <w:szCs w:val="24"/>
              </w:rPr>
            </w:pPr>
          </w:p>
        </w:tc>
        <w:tc>
          <w:tcPr>
            <w:tcW w:w="709" w:type="dxa"/>
          </w:tcPr>
          <w:p w:rsidR="006366A3" w:rsidRPr="001D044D" w:rsidRDefault="006366A3" w:rsidP="00634260">
            <w:pPr>
              <w:spacing w:line="360" w:lineRule="auto"/>
              <w:jc w:val="both"/>
              <w:rPr>
                <w:rFonts w:ascii="Times New Roman" w:hAnsi="Times New Roman" w:cs="Times New Roman"/>
                <w:b/>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Rasio Lancar (x)</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1,3</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0,94</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1,01</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1,08</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4,13</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3,66</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4,20</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3,99</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Rasio Quick (x)</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0,80</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0,57</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0,72</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0,69</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3,29</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3,11</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3,46</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3,28</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AKTIVITAS</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708"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Rata-rata umur piutang (hari)</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152</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170</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196</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172</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61</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73</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33</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55</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Perputaran Persediaan (x)</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1,56</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1,18</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1,37</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1,37</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3,81</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4,84</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4,63</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4,42</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Perputaran Aktiva Tetap (x)</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1,70</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1,50</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1,71</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1,63</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2,53</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2,12</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1,93</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2,19</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Perputaran Total Aktiva</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0,57</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0,51</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0,52</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0,53</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0,98</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0,80</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0,86</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0,88</w:t>
            </w:r>
          </w:p>
        </w:tc>
      </w:tr>
      <w:tr w:rsidR="006366A3" w:rsidRPr="001D044D" w:rsidTr="006366A3">
        <w:trPr>
          <w:trHeight w:val="266"/>
        </w:trPr>
        <w:tc>
          <w:tcPr>
            <w:tcW w:w="3403"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SOLVABILITAS</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708"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Debt to Asset Rasio (%)</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59</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61</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60</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60</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9</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9</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7</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8,33</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PROFITABILITAS</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708" w:type="dxa"/>
          </w:tcPr>
          <w:p w:rsidR="006366A3" w:rsidRPr="001D044D" w:rsidRDefault="006366A3" w:rsidP="00634260">
            <w:pPr>
              <w:spacing w:line="360" w:lineRule="auto"/>
              <w:jc w:val="both"/>
              <w:rPr>
                <w:rFonts w:ascii="Times New Roman" w:hAnsi="Times New Roman" w:cs="Times New Roman"/>
                <w:sz w:val="24"/>
                <w:szCs w:val="24"/>
              </w:rPr>
            </w:pPr>
          </w:p>
        </w:tc>
        <w:tc>
          <w:tcPr>
            <w:tcW w:w="709" w:type="dxa"/>
          </w:tcPr>
          <w:p w:rsidR="006366A3" w:rsidRPr="001D044D" w:rsidRDefault="006366A3" w:rsidP="00634260">
            <w:pPr>
              <w:spacing w:line="360" w:lineRule="auto"/>
              <w:jc w:val="both"/>
              <w:rPr>
                <w:rFonts w:ascii="Times New Roman" w:hAnsi="Times New Roman" w:cs="Times New Roman"/>
                <w:sz w:val="24"/>
                <w:szCs w:val="24"/>
              </w:rPr>
            </w:pP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Profit Margin (%)</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5</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9</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5</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31</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28</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26</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28</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Return on Total Asset (%)</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5</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3</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23</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24</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31</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26</w:t>
            </w:r>
          </w:p>
        </w:tc>
      </w:tr>
      <w:tr w:rsidR="006366A3" w:rsidRPr="001D044D" w:rsidTr="006366A3">
        <w:tc>
          <w:tcPr>
            <w:tcW w:w="3403"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Return on Equity (%)</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7</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12</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7</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36</w:t>
            </w:r>
          </w:p>
        </w:tc>
        <w:tc>
          <w:tcPr>
            <w:tcW w:w="708"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29</w:t>
            </w:r>
          </w:p>
        </w:tc>
        <w:tc>
          <w:tcPr>
            <w:tcW w:w="709" w:type="dxa"/>
          </w:tcPr>
          <w:p w:rsidR="006366A3" w:rsidRPr="001D044D" w:rsidRDefault="006366A3"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26</w:t>
            </w:r>
          </w:p>
        </w:tc>
        <w:tc>
          <w:tcPr>
            <w:tcW w:w="1134" w:type="dxa"/>
          </w:tcPr>
          <w:p w:rsidR="006366A3" w:rsidRPr="001D044D" w:rsidRDefault="006366A3"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30</w:t>
            </w:r>
          </w:p>
        </w:tc>
      </w:tr>
    </w:tbl>
    <w:p w:rsidR="003D0CA7" w:rsidRDefault="003D0CA7" w:rsidP="00634260">
      <w:pPr>
        <w:spacing w:after="0" w:line="360" w:lineRule="auto"/>
        <w:jc w:val="both"/>
        <w:rPr>
          <w:rFonts w:ascii="Times New Roman" w:hAnsi="Times New Roman" w:cs="Times New Roman"/>
          <w:sz w:val="24"/>
          <w:szCs w:val="24"/>
        </w:rPr>
      </w:pPr>
    </w:p>
    <w:tbl>
      <w:tblPr>
        <w:tblStyle w:val="TableGrid"/>
        <w:tblW w:w="9923" w:type="dxa"/>
        <w:tblInd w:w="-459" w:type="dxa"/>
        <w:tblLook w:val="04A0" w:firstRow="1" w:lastRow="0" w:firstColumn="1" w:lastColumn="0" w:noHBand="0" w:noVBand="1"/>
      </w:tblPr>
      <w:tblGrid>
        <w:gridCol w:w="3402"/>
        <w:gridCol w:w="709"/>
        <w:gridCol w:w="709"/>
        <w:gridCol w:w="709"/>
        <w:gridCol w:w="1134"/>
        <w:gridCol w:w="708"/>
        <w:gridCol w:w="709"/>
        <w:gridCol w:w="709"/>
        <w:gridCol w:w="1134"/>
      </w:tblGrid>
      <w:tr w:rsidR="00B73A1D" w:rsidRPr="00B73A1D" w:rsidTr="00B73A1D">
        <w:tc>
          <w:tcPr>
            <w:tcW w:w="3402" w:type="dxa"/>
            <w:vMerge w:val="restart"/>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RASIO</w:t>
            </w:r>
          </w:p>
        </w:tc>
        <w:tc>
          <w:tcPr>
            <w:tcW w:w="3261" w:type="dxa"/>
            <w:gridSpan w:val="4"/>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PT Merck Indonesia Tbk</w:t>
            </w:r>
          </w:p>
        </w:tc>
        <w:tc>
          <w:tcPr>
            <w:tcW w:w="3260" w:type="dxa"/>
            <w:gridSpan w:val="4"/>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PT Pyridam Farma Tbk</w:t>
            </w:r>
          </w:p>
        </w:tc>
      </w:tr>
      <w:tr w:rsidR="00B73A1D" w:rsidRPr="00B73A1D" w:rsidTr="00B73A1D">
        <w:tc>
          <w:tcPr>
            <w:tcW w:w="3402" w:type="dxa"/>
            <w:vMerge/>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p>
        </w:tc>
        <w:tc>
          <w:tcPr>
            <w:tcW w:w="3261" w:type="dxa"/>
            <w:gridSpan w:val="4"/>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Tahun</w:t>
            </w:r>
          </w:p>
        </w:tc>
        <w:tc>
          <w:tcPr>
            <w:tcW w:w="3260" w:type="dxa"/>
            <w:gridSpan w:val="4"/>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Tahun</w:t>
            </w:r>
          </w:p>
        </w:tc>
      </w:tr>
      <w:tr w:rsidR="00B73A1D" w:rsidRPr="00B73A1D" w:rsidTr="00B73A1D">
        <w:tc>
          <w:tcPr>
            <w:tcW w:w="3402" w:type="dxa"/>
            <w:vMerge/>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p>
        </w:tc>
        <w:tc>
          <w:tcPr>
            <w:tcW w:w="709"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2021</w:t>
            </w:r>
          </w:p>
        </w:tc>
        <w:tc>
          <w:tcPr>
            <w:tcW w:w="709"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2020</w:t>
            </w:r>
          </w:p>
        </w:tc>
        <w:tc>
          <w:tcPr>
            <w:tcW w:w="709"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2019</w:t>
            </w:r>
          </w:p>
        </w:tc>
        <w:tc>
          <w:tcPr>
            <w:tcW w:w="1134"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Average</w:t>
            </w:r>
          </w:p>
        </w:tc>
        <w:tc>
          <w:tcPr>
            <w:tcW w:w="708"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2021</w:t>
            </w:r>
          </w:p>
        </w:tc>
        <w:tc>
          <w:tcPr>
            <w:tcW w:w="709"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2020</w:t>
            </w:r>
          </w:p>
        </w:tc>
        <w:tc>
          <w:tcPr>
            <w:tcW w:w="709"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2019</w:t>
            </w:r>
          </w:p>
        </w:tc>
        <w:tc>
          <w:tcPr>
            <w:tcW w:w="1134" w:type="dxa"/>
            <w:shd w:val="clear" w:color="auto" w:fill="ED7D31" w:themeFill="accent2"/>
            <w:vAlign w:val="center"/>
          </w:tcPr>
          <w:p w:rsidR="00B73A1D" w:rsidRPr="00B73A1D" w:rsidRDefault="00B73A1D" w:rsidP="00634260">
            <w:pPr>
              <w:spacing w:line="360" w:lineRule="auto"/>
              <w:jc w:val="center"/>
              <w:rPr>
                <w:rFonts w:ascii="Times New Roman" w:hAnsi="Times New Roman" w:cs="Times New Roman"/>
                <w:b/>
                <w:sz w:val="24"/>
                <w:szCs w:val="24"/>
              </w:rPr>
            </w:pPr>
            <w:r w:rsidRPr="00B73A1D">
              <w:rPr>
                <w:rFonts w:ascii="Times New Roman" w:hAnsi="Times New Roman" w:cs="Times New Roman"/>
                <w:b/>
                <w:sz w:val="24"/>
                <w:szCs w:val="24"/>
              </w:rPr>
              <w:t>Average</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LIKUIDITAS</w:t>
            </w:r>
          </w:p>
        </w:tc>
        <w:tc>
          <w:tcPr>
            <w:tcW w:w="709" w:type="dxa"/>
          </w:tcPr>
          <w:p w:rsidR="00B73A1D" w:rsidRPr="001D044D" w:rsidRDefault="00B73A1D" w:rsidP="00634260">
            <w:pPr>
              <w:spacing w:line="360" w:lineRule="auto"/>
              <w:jc w:val="both"/>
              <w:rPr>
                <w:rFonts w:ascii="Times New Roman" w:hAnsi="Times New Roman" w:cs="Times New Roman"/>
                <w:b/>
                <w:sz w:val="24"/>
                <w:szCs w:val="24"/>
              </w:rPr>
            </w:pPr>
          </w:p>
        </w:tc>
        <w:tc>
          <w:tcPr>
            <w:tcW w:w="709" w:type="dxa"/>
          </w:tcPr>
          <w:p w:rsidR="00B73A1D" w:rsidRPr="001D044D" w:rsidRDefault="00B73A1D" w:rsidP="00634260">
            <w:pPr>
              <w:spacing w:line="360" w:lineRule="auto"/>
              <w:jc w:val="both"/>
              <w:rPr>
                <w:rFonts w:ascii="Times New Roman" w:hAnsi="Times New Roman" w:cs="Times New Roman"/>
                <w:b/>
                <w:sz w:val="24"/>
                <w:szCs w:val="24"/>
              </w:rPr>
            </w:pPr>
          </w:p>
        </w:tc>
        <w:tc>
          <w:tcPr>
            <w:tcW w:w="709" w:type="dxa"/>
          </w:tcPr>
          <w:p w:rsidR="00B73A1D" w:rsidRPr="001D044D" w:rsidRDefault="00B73A1D" w:rsidP="00634260">
            <w:pPr>
              <w:spacing w:line="360" w:lineRule="auto"/>
              <w:jc w:val="both"/>
              <w:rPr>
                <w:rFonts w:ascii="Times New Roman" w:hAnsi="Times New Roman" w:cs="Times New Roman"/>
                <w:b/>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c>
          <w:tcPr>
            <w:tcW w:w="708" w:type="dxa"/>
          </w:tcPr>
          <w:p w:rsidR="00B73A1D" w:rsidRPr="001D044D" w:rsidRDefault="00B73A1D" w:rsidP="00634260">
            <w:pPr>
              <w:spacing w:line="360" w:lineRule="auto"/>
              <w:jc w:val="both"/>
              <w:rPr>
                <w:rFonts w:ascii="Times New Roman" w:hAnsi="Times New Roman" w:cs="Times New Roman"/>
                <w:b/>
                <w:sz w:val="24"/>
                <w:szCs w:val="24"/>
              </w:rPr>
            </w:pPr>
          </w:p>
        </w:tc>
        <w:tc>
          <w:tcPr>
            <w:tcW w:w="709" w:type="dxa"/>
          </w:tcPr>
          <w:p w:rsidR="00B73A1D" w:rsidRPr="001D044D" w:rsidRDefault="00B73A1D" w:rsidP="00634260">
            <w:pPr>
              <w:spacing w:line="360" w:lineRule="auto"/>
              <w:jc w:val="both"/>
              <w:rPr>
                <w:rFonts w:ascii="Times New Roman" w:hAnsi="Times New Roman" w:cs="Times New Roman"/>
                <w:b/>
                <w:sz w:val="24"/>
                <w:szCs w:val="24"/>
              </w:rPr>
            </w:pPr>
          </w:p>
        </w:tc>
        <w:tc>
          <w:tcPr>
            <w:tcW w:w="709" w:type="dxa"/>
          </w:tcPr>
          <w:p w:rsidR="00B73A1D" w:rsidRPr="001D044D" w:rsidRDefault="00B73A1D" w:rsidP="00634260">
            <w:pPr>
              <w:spacing w:line="360" w:lineRule="auto"/>
              <w:jc w:val="both"/>
              <w:rPr>
                <w:rFonts w:ascii="Times New Roman" w:hAnsi="Times New Roman" w:cs="Times New Roman"/>
                <w:b/>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Rasio Lancar (x)</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2,71</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2,54</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2,50</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2,58</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1,29</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2,89</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3,52</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2,56</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Rasio Quick (x)</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1,76</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1,35</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1,63</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1,58</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0,71</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1,74</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1,90</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1,45</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AKTIVITAS</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c>
          <w:tcPr>
            <w:tcW w:w="708"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Rata-rata umur piutang (hari)</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78</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114</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94</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95</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58</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79</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62</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66</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Perputaran Persediaan (x)</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2,40</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1,30</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1,80</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1,83</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2,64</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2,22</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2,41</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2,42</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Perputaran Aktiva Tetap (x)</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4,10</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2,60</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3,30</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3,33</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1,31</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2,79</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2,60</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2,23</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lastRenderedPageBreak/>
              <w:t>Perputaran Total Aktiva</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1,30</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0,70</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0,80</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0,93</w:t>
            </w:r>
          </w:p>
        </w:tc>
        <w:tc>
          <w:tcPr>
            <w:tcW w:w="708"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SOLVABILITAS</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c>
          <w:tcPr>
            <w:tcW w:w="708"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Debt to Asset Rasio (%)</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33</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34</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34</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33,67</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79</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31</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35</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48,3</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RASIO PROFITABILITAS</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c>
          <w:tcPr>
            <w:tcW w:w="708"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709" w:type="dxa"/>
          </w:tcPr>
          <w:p w:rsidR="00B73A1D" w:rsidRPr="001D044D" w:rsidRDefault="00B73A1D" w:rsidP="00634260">
            <w:pPr>
              <w:spacing w:line="360" w:lineRule="auto"/>
              <w:jc w:val="both"/>
              <w:rPr>
                <w:rFonts w:ascii="Times New Roman" w:hAnsi="Times New Roman" w:cs="Times New Roman"/>
                <w:sz w:val="24"/>
                <w:szCs w:val="24"/>
              </w:rPr>
            </w:pP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Profit Margin (%)</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12</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11</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10</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11</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12</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3</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5</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Return on Total Asset (%)</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13</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8</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9</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10</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14</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4</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6</w:t>
            </w:r>
          </w:p>
        </w:tc>
      </w:tr>
      <w:tr w:rsidR="00B73A1D" w:rsidTr="003D0CA7">
        <w:tc>
          <w:tcPr>
            <w:tcW w:w="3402"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Return on Equity (%)</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6</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w:t>
            </w:r>
          </w:p>
        </w:tc>
        <w:tc>
          <w:tcPr>
            <w:tcW w:w="709" w:type="dxa"/>
          </w:tcPr>
          <w:p w:rsidR="00B73A1D" w:rsidRPr="001D044D" w:rsidRDefault="00B73A1D" w:rsidP="00634260">
            <w:pPr>
              <w:spacing w:line="360" w:lineRule="auto"/>
              <w:jc w:val="both"/>
              <w:rPr>
                <w:rFonts w:ascii="Times New Roman" w:hAnsi="Times New Roman" w:cs="Times New Roman"/>
                <w:sz w:val="24"/>
                <w:szCs w:val="24"/>
              </w:rPr>
            </w:pPr>
            <w:r w:rsidRPr="001D044D">
              <w:rPr>
                <w:rFonts w:ascii="Times New Roman" w:hAnsi="Times New Roman" w:cs="Times New Roman"/>
                <w:sz w:val="24"/>
                <w:szCs w:val="24"/>
              </w:rPr>
              <w:t>3</w:t>
            </w:r>
          </w:p>
        </w:tc>
        <w:tc>
          <w:tcPr>
            <w:tcW w:w="1134" w:type="dxa"/>
          </w:tcPr>
          <w:p w:rsidR="00B73A1D" w:rsidRPr="001D044D" w:rsidRDefault="00B73A1D" w:rsidP="00634260">
            <w:pPr>
              <w:spacing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4</w:t>
            </w:r>
          </w:p>
        </w:tc>
        <w:tc>
          <w:tcPr>
            <w:tcW w:w="708"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6</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21</w:t>
            </w:r>
          </w:p>
        </w:tc>
        <w:tc>
          <w:tcPr>
            <w:tcW w:w="709" w:type="dxa"/>
          </w:tcPr>
          <w:p w:rsidR="00B73A1D" w:rsidRPr="001D044D" w:rsidRDefault="00B73A1D" w:rsidP="00634260">
            <w:pPr>
              <w:spacing w:line="360" w:lineRule="auto"/>
              <w:jc w:val="both"/>
              <w:rPr>
                <w:rFonts w:ascii="Times New Roman" w:hAnsi="Times New Roman" w:cs="Times New Roman"/>
                <w:sz w:val="24"/>
                <w:szCs w:val="24"/>
                <w:lang w:val="en-US"/>
              </w:rPr>
            </w:pPr>
            <w:r w:rsidRPr="001D044D">
              <w:rPr>
                <w:rFonts w:ascii="Times New Roman" w:hAnsi="Times New Roman" w:cs="Times New Roman"/>
                <w:sz w:val="24"/>
                <w:szCs w:val="24"/>
                <w:lang w:val="en-US"/>
              </w:rPr>
              <w:t>6</w:t>
            </w:r>
          </w:p>
        </w:tc>
        <w:tc>
          <w:tcPr>
            <w:tcW w:w="1134" w:type="dxa"/>
          </w:tcPr>
          <w:p w:rsidR="00B73A1D" w:rsidRPr="001D044D" w:rsidRDefault="00B73A1D" w:rsidP="00634260">
            <w:pPr>
              <w:spacing w:line="360" w:lineRule="auto"/>
              <w:jc w:val="both"/>
              <w:rPr>
                <w:rFonts w:ascii="Times New Roman" w:hAnsi="Times New Roman" w:cs="Times New Roman"/>
                <w:b/>
                <w:sz w:val="24"/>
                <w:szCs w:val="24"/>
                <w:lang w:val="en-US"/>
              </w:rPr>
            </w:pPr>
            <w:r w:rsidRPr="001D044D">
              <w:rPr>
                <w:rFonts w:ascii="Times New Roman" w:hAnsi="Times New Roman" w:cs="Times New Roman"/>
                <w:b/>
                <w:sz w:val="24"/>
                <w:szCs w:val="24"/>
                <w:lang w:val="en-US"/>
              </w:rPr>
              <w:t>11</w:t>
            </w:r>
          </w:p>
        </w:tc>
      </w:tr>
    </w:tbl>
    <w:p w:rsidR="003D0CA7" w:rsidRDefault="003D0CA7" w:rsidP="00634260">
      <w:pPr>
        <w:spacing w:after="0" w:line="360" w:lineRule="auto"/>
        <w:jc w:val="both"/>
        <w:rPr>
          <w:rFonts w:ascii="Times New Roman" w:hAnsi="Times New Roman" w:cs="Times New Roman"/>
          <w:sz w:val="24"/>
          <w:szCs w:val="24"/>
        </w:rPr>
      </w:pPr>
    </w:p>
    <w:p w:rsidR="00241A9D" w:rsidRPr="001D044D" w:rsidRDefault="00241A9D" w:rsidP="00634260">
      <w:pPr>
        <w:spacing w:after="0" w:line="360" w:lineRule="auto"/>
        <w:jc w:val="both"/>
        <w:rPr>
          <w:rFonts w:ascii="Times New Roman" w:hAnsi="Times New Roman" w:cs="Times New Roman"/>
          <w:b/>
          <w:sz w:val="24"/>
          <w:szCs w:val="24"/>
        </w:rPr>
      </w:pPr>
      <w:r w:rsidRPr="001D044D">
        <w:rPr>
          <w:rFonts w:ascii="Times New Roman" w:hAnsi="Times New Roman" w:cs="Times New Roman"/>
          <w:b/>
          <w:sz w:val="24"/>
          <w:szCs w:val="24"/>
        </w:rPr>
        <w:t>Analisis Rasio Keuangan TimeSeries dan Cross Section Perusahaan</w:t>
      </w:r>
    </w:p>
    <w:p w:rsidR="00241A9D" w:rsidRPr="001D044D" w:rsidRDefault="00241A9D" w:rsidP="00634260">
      <w:pPr>
        <w:pStyle w:val="ListParagraph"/>
        <w:numPr>
          <w:ilvl w:val="0"/>
          <w:numId w:val="12"/>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Rasio Likuiditas</w:t>
      </w:r>
    </w:p>
    <w:p w:rsidR="00241A9D" w:rsidRPr="001D044D" w:rsidRDefault="00241A9D" w:rsidP="00634260">
      <w:pPr>
        <w:pStyle w:val="ListParagraph"/>
        <w:numPr>
          <w:ilvl w:val="0"/>
          <w:numId w:val="13"/>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Rasio Lancar</w:t>
      </w:r>
    </w:p>
    <w:p w:rsidR="00241A9D" w:rsidRPr="001A48F8" w:rsidRDefault="00241A9D" w:rsidP="00634260">
      <w:pPr>
        <w:pStyle w:val="ListParagraph"/>
        <w:spacing w:after="0" w:line="360" w:lineRule="auto"/>
        <w:ind w:left="0"/>
        <w:jc w:val="both"/>
        <w:rPr>
          <w:rFonts w:ascii="Times New Roman" w:hAnsi="Times New Roman" w:cs="Times New Roman"/>
          <w:sz w:val="24"/>
          <w:szCs w:val="24"/>
          <w:lang w:eastAsia="id-ID"/>
        </w:rPr>
      </w:pPr>
      <w:r w:rsidRPr="001D044D">
        <w:rPr>
          <w:rFonts w:ascii="Times New Roman" w:hAnsi="Times New Roman" w:cs="Times New Roman"/>
          <w:b/>
          <w:noProof/>
          <w:sz w:val="24"/>
          <w:szCs w:val="24"/>
          <w:lang w:val="en-US"/>
        </w:rPr>
        <w:drawing>
          <wp:inline distT="0" distB="0" distL="114300" distR="114300" wp14:anchorId="1E8ABC0C" wp14:editId="4B5CE8E8">
            <wp:extent cx="5200650" cy="1552575"/>
            <wp:effectExtent l="0" t="0" r="19050" b="9525"/>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41A9D" w:rsidRPr="001D044D" w:rsidRDefault="00241A9D" w:rsidP="00634260">
      <w:pPr>
        <w:spacing w:after="0" w:line="360" w:lineRule="auto"/>
        <w:ind w:firstLine="72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Dari grafik diatas, ke-4 perusahaan cukup mampu membayar hutangya dengan aktiva lancar karena rasio lancarnya di atas angka 1, walaupun pada PT Phapros Tbk tahun 2020 mengalami penurunan yaitu dibawah angka 1 menjadi 0,94, kemudian pada tahun 2021 PT Phapros Tbk membuktikan bahwa mampu membayar hutangnya dan mengalami kenaikan di atas angka 1 yaitu 1,3. Dari ke-4 perusahaan yang memilik trend kemampuan membayar hutangnya paling baik yaitu perusahaan PT Industri Jamu dan Farmasi Sido Muncul Tbk, kemudian diikuti oleh PT Pyridam Farma Tbk, PT Merck Indonesia, dan yang terakhir PT Phapros Tbk.</w:t>
      </w:r>
    </w:p>
    <w:p w:rsidR="00241A9D" w:rsidRPr="001D044D" w:rsidRDefault="00241A9D" w:rsidP="00634260">
      <w:pPr>
        <w:pStyle w:val="ListParagraph"/>
        <w:numPr>
          <w:ilvl w:val="0"/>
          <w:numId w:val="13"/>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Rasio Quick</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465FF03C" wp14:editId="69901379">
            <wp:extent cx="5324475" cy="1562100"/>
            <wp:effectExtent l="0" t="0" r="9525" b="1905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41A9D" w:rsidRPr="001D044D" w:rsidRDefault="00241A9D" w:rsidP="00634260">
      <w:pPr>
        <w:spacing w:after="0" w:line="360" w:lineRule="auto"/>
        <w:ind w:firstLine="36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lastRenderedPageBreak/>
        <w:t>Dalam grafik diatas, dapat dilihat perputaran persediaan dalam empat perusahaan. Dari empat perusahaan dapat dilihat yang megalami kelancaran dalam perputaran persediaan yaitu PT Industri Jamu dan Farmasi Sido Muncul karena perputaran persediaan nya di atas 1 walaupun persediaannya sudah dikeluarkan. Kemudian diikuti oleh PT Pyridam Farma Tbk, PT Merck Indonesia, dan yang terakhir PT Phapros Tbk karena perputaran persediaannya mengalami penurunan setelah dikeluarkannya persediaan menjadi di bawah angka 1.</w:t>
      </w:r>
    </w:p>
    <w:p w:rsidR="00241A9D" w:rsidRPr="001D044D" w:rsidRDefault="00241A9D" w:rsidP="00634260">
      <w:pPr>
        <w:pStyle w:val="ListParagraph"/>
        <w:numPr>
          <w:ilvl w:val="0"/>
          <w:numId w:val="12"/>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RASIO AKTIVITAS</w:t>
      </w:r>
    </w:p>
    <w:p w:rsidR="00241A9D" w:rsidRPr="001D044D" w:rsidRDefault="00241A9D" w:rsidP="00634260">
      <w:pPr>
        <w:pStyle w:val="ListParagraph"/>
        <w:numPr>
          <w:ilvl w:val="0"/>
          <w:numId w:val="14"/>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Rata-rata umur piutang (hari)</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5747F574" wp14:editId="7EA03D93">
            <wp:extent cx="5467350" cy="1552575"/>
            <wp:effectExtent l="0" t="0" r="19050" b="9525"/>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044D" w:rsidRDefault="00241A9D" w:rsidP="00634260">
      <w:pPr>
        <w:spacing w:after="0" w:line="360" w:lineRule="auto"/>
        <w:ind w:firstLine="72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 xml:space="preserve">Berdasarkan data di atas, rata-rata umur piutang PT Phapros Tbk  memiliki rata-rata angka piutang 172 hari, PT Industri Jamu dan Farmasi Sido Muncul Tbk memiliki angka piutang 55 hari, PT Merck Indonesia memiliki angka piutang 95 hari dan PT Pyridam Farma Tbk memiliki angka piutang 66 hari. Sehingga dari grafk diatas PT Phapros Tbk memiliki rata-rata umur piurang dari 2019-2021 yang berisiko piutang tidak tertagihnya tinggi. Sedangkan PT Industri Jamu dan Farmasi Sido Muncul Tbk, PT Merck Indonesia, PT Pyridam Farma Tbk memiliki rata-rata umur piutang cenderung stabil dan lebih kecil dari angka target perusahaan yang biasanya 30-90 hari, hal tersebut menunjukkan ketiga perusahaan ini dalam kondisi baik atau risiko piutang tak tertagihnya rendah. </w:t>
      </w:r>
    </w:p>
    <w:p w:rsidR="00CE35BC" w:rsidRPr="001D044D" w:rsidRDefault="00CE35BC" w:rsidP="00634260">
      <w:pPr>
        <w:spacing w:after="0" w:line="360" w:lineRule="auto"/>
        <w:ind w:firstLine="720"/>
        <w:jc w:val="both"/>
        <w:rPr>
          <w:rFonts w:ascii="Times New Roman" w:hAnsi="Times New Roman" w:cs="Times New Roman"/>
          <w:sz w:val="24"/>
          <w:szCs w:val="24"/>
          <w:lang w:eastAsia="id-ID"/>
        </w:rPr>
      </w:pPr>
    </w:p>
    <w:p w:rsidR="00241A9D" w:rsidRPr="001D044D" w:rsidRDefault="00241A9D" w:rsidP="00634260">
      <w:pPr>
        <w:pStyle w:val="ListParagraph"/>
        <w:numPr>
          <w:ilvl w:val="0"/>
          <w:numId w:val="14"/>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Perputaran Persediaan (x)</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lastRenderedPageBreak/>
        <w:drawing>
          <wp:inline distT="0" distB="0" distL="114300" distR="114300" wp14:anchorId="646739D2" wp14:editId="67220C12">
            <wp:extent cx="5381625" cy="1609725"/>
            <wp:effectExtent l="0" t="0" r="9525" b="9525"/>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41A9D" w:rsidRPr="001D044D" w:rsidRDefault="00241A9D" w:rsidP="00634260">
      <w:pPr>
        <w:spacing w:after="0" w:line="360" w:lineRule="auto"/>
        <w:ind w:firstLine="72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 xml:space="preserve">Berdasarkan grafik diatas PT Phapros Tbk memiliki rata-rata perputaran persediaan paling rendah 1,37 kali dari 2019-2021 yang menunjukkan bahwa kurangnya pengendalian persediaan yang efektif. Sedangkan PT Industri Jamu dan Farmasi Sido Muncul Tbk memiliki rata-rata perputaran persediaan paling tinggi 4,42 kali dari 2019-2021, hal tersebut menandakan bahwa </w:t>
      </w:r>
      <w:r w:rsidRPr="001D044D">
        <w:rPr>
          <w:rFonts w:ascii="Times New Roman" w:hAnsi="Times New Roman" w:cs="Times New Roman"/>
          <w:sz w:val="24"/>
          <w:szCs w:val="24"/>
        </w:rPr>
        <w:t>efektifitas manajemen persediaan dari PT Industri Jamu dan Farmasi Sido Muncul Tbk dinilai baik</w:t>
      </w:r>
      <w:r w:rsidRPr="001D044D">
        <w:rPr>
          <w:rFonts w:ascii="Times New Roman" w:hAnsi="Times New Roman" w:cs="Times New Roman"/>
          <w:sz w:val="24"/>
          <w:szCs w:val="24"/>
          <w:lang w:eastAsia="id-ID"/>
        </w:rPr>
        <w:t xml:space="preserve">. </w:t>
      </w:r>
    </w:p>
    <w:p w:rsidR="00241A9D" w:rsidRPr="001D044D" w:rsidRDefault="00241A9D" w:rsidP="00634260">
      <w:pPr>
        <w:pStyle w:val="ListParagraph"/>
        <w:numPr>
          <w:ilvl w:val="0"/>
          <w:numId w:val="14"/>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Perputaran Aktiva Tetap (x)</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20360620" wp14:editId="5395CF91">
            <wp:extent cx="5495925" cy="1533525"/>
            <wp:effectExtent l="0" t="0" r="9525" b="9525"/>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noProof/>
          <w:sz w:val="24"/>
          <w:szCs w:val="24"/>
          <w:lang w:val="en-US"/>
        </w:rPr>
        <w:drawing>
          <wp:inline distT="0" distB="0" distL="0" distR="0" wp14:anchorId="3548D4A1" wp14:editId="4611EDFE">
            <wp:extent cx="5495925" cy="12477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41A9D" w:rsidRPr="001D044D" w:rsidRDefault="00241A9D" w:rsidP="00634260">
      <w:pPr>
        <w:spacing w:after="0" w:line="360" w:lineRule="auto"/>
        <w:ind w:firstLine="72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 xml:space="preserve">Berdasarkan grafik diatas PT Phapros Tbk memiliki rata-rata perputaran aktiva tetap paling rendah 1,63 kali dari tahun 2019-2021 yang menunjukkan bahwa perusahaan bergerak di industri padat modal karena sangat bergantung pada aktiva tetap sehingga efektifitas penggunaan aktiva tetap pada perusahaan tersebut dinilai tidak efektif. Sedangkan PT Merck Indonesia memiliki rata-rata perputaran aktiva tetap paling tinggi 3,33 kali dari 2019-2021, hal tersebut menandakan </w:t>
      </w:r>
      <w:r w:rsidRPr="001D044D">
        <w:rPr>
          <w:rFonts w:ascii="Times New Roman" w:hAnsi="Times New Roman" w:cs="Times New Roman"/>
          <w:sz w:val="24"/>
          <w:szCs w:val="24"/>
        </w:rPr>
        <w:t>bahwa efektivitas penggunaan aktiva tetap pada PT Merck Indonesia dinilai efektif</w:t>
      </w:r>
      <w:r w:rsidRPr="001D044D">
        <w:rPr>
          <w:rFonts w:ascii="Times New Roman" w:hAnsi="Times New Roman" w:cs="Times New Roman"/>
          <w:sz w:val="24"/>
          <w:szCs w:val="24"/>
          <w:lang w:eastAsia="id-ID"/>
        </w:rPr>
        <w:t xml:space="preserve">. </w:t>
      </w:r>
    </w:p>
    <w:p w:rsidR="00241A9D" w:rsidRPr="001D044D" w:rsidRDefault="00241A9D" w:rsidP="00634260">
      <w:pPr>
        <w:pStyle w:val="ListParagraph"/>
        <w:numPr>
          <w:ilvl w:val="0"/>
          <w:numId w:val="14"/>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Perputaran Total Aktiva</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lastRenderedPageBreak/>
        <w:drawing>
          <wp:inline distT="0" distB="0" distL="114300" distR="114300" wp14:anchorId="38E40A62" wp14:editId="1F6F14AA">
            <wp:extent cx="5353050" cy="1504950"/>
            <wp:effectExtent l="0" t="0" r="19050" b="19050"/>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41A9D" w:rsidRPr="001A48F8" w:rsidRDefault="00241A9D" w:rsidP="00634260">
      <w:pPr>
        <w:spacing w:after="0" w:line="360" w:lineRule="auto"/>
        <w:ind w:firstLine="36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 xml:space="preserve">Berdasarkan grafik di atas PT Phapros memiliki perputaran total aktiva paling rendah 0,53 dari 2019-2021 yang belum menunjukkan manajemen yang baik, Oleh karena itu perlunya manajemen mengevaluasi strategi, pemasaran dan penggunaan modalnya (investasi). </w:t>
      </w:r>
      <w:r w:rsidRPr="001D044D">
        <w:rPr>
          <w:rFonts w:ascii="Times New Roman" w:hAnsi="Times New Roman" w:cs="Times New Roman"/>
          <w:sz w:val="24"/>
          <w:szCs w:val="24"/>
          <w:lang w:val="en-US" w:eastAsia="id-ID"/>
        </w:rPr>
        <w:t>Sedangkan pada PT Merck Indonesia memiliki rata-rata perputaran total aktiva paling tinggi 0,93 sehingga hal tersebut menunjukkan bahwa PT Merck Indonesia memiliki  manajemen yang baik</w:t>
      </w:r>
      <w:r w:rsidRPr="001D044D">
        <w:rPr>
          <w:rFonts w:ascii="Times New Roman" w:hAnsi="Times New Roman" w:cs="Times New Roman"/>
          <w:sz w:val="24"/>
          <w:szCs w:val="24"/>
          <w:lang w:eastAsia="id-ID"/>
        </w:rPr>
        <w:t xml:space="preserve"> dalam efektivitas penggunaan total aktiva. Kemudian disusul dengan PT Industri Jamu &amp; Farmasi Sido Muncul Tbk, PT Phapros Tbk.</w:t>
      </w:r>
    </w:p>
    <w:p w:rsidR="00241A9D" w:rsidRPr="001D044D" w:rsidRDefault="00241A9D" w:rsidP="00634260">
      <w:pPr>
        <w:pStyle w:val="ListParagraph"/>
        <w:numPr>
          <w:ilvl w:val="0"/>
          <w:numId w:val="12"/>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RASIO SOLVABILITAS</w:t>
      </w:r>
    </w:p>
    <w:p w:rsidR="00241A9D" w:rsidRPr="001D044D" w:rsidRDefault="00241A9D" w:rsidP="00634260">
      <w:pPr>
        <w:pStyle w:val="ListParagraph"/>
        <w:numPr>
          <w:ilvl w:val="0"/>
          <w:numId w:val="15"/>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Debt to Asset Rasio (%)</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0378870B" wp14:editId="41E156D6">
            <wp:extent cx="5343525" cy="1495425"/>
            <wp:effectExtent l="0" t="0" r="9525" b="9525"/>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41A9D" w:rsidRPr="001D044D" w:rsidRDefault="00241A9D" w:rsidP="00634260">
      <w:pPr>
        <w:pStyle w:val="ListParagraph"/>
        <w:spacing w:after="0" w:line="360" w:lineRule="auto"/>
        <w:ind w:left="0"/>
        <w:jc w:val="both"/>
        <w:rPr>
          <w:rFonts w:ascii="Times New Roman" w:hAnsi="Times New Roman" w:cs="Times New Roman"/>
          <w:sz w:val="24"/>
          <w:szCs w:val="24"/>
          <w:lang w:eastAsia="id-ID"/>
        </w:rPr>
      </w:pPr>
      <w:r w:rsidRPr="001D044D">
        <w:rPr>
          <w:rFonts w:ascii="Times New Roman" w:hAnsi="Times New Roman" w:cs="Times New Roman"/>
          <w:b/>
          <w:noProof/>
          <w:sz w:val="24"/>
          <w:szCs w:val="24"/>
          <w:lang w:val="en-US"/>
        </w:rPr>
        <w:drawing>
          <wp:inline distT="0" distB="0" distL="114300" distR="114300" wp14:anchorId="7CCD1F2A" wp14:editId="64317CC6">
            <wp:extent cx="5343525" cy="1381125"/>
            <wp:effectExtent l="0" t="0" r="9525" b="9525"/>
            <wp:docPr id="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41A9D" w:rsidRPr="001D044D" w:rsidRDefault="00241A9D" w:rsidP="00634260">
      <w:pPr>
        <w:pStyle w:val="ListParagraph"/>
        <w:spacing w:after="0" w:line="360" w:lineRule="auto"/>
        <w:ind w:left="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Untuk DER rata-rata industri dihitung menggunakan rata-rata industri :</w:t>
      </w:r>
    </w:p>
    <w:p w:rsidR="00241A9D" w:rsidRPr="001D044D" w:rsidRDefault="00333191" w:rsidP="00634260">
      <w:pPr>
        <w:pStyle w:val="ListParagraph"/>
        <w:spacing w:after="0" w:line="360" w:lineRule="auto"/>
        <w:ind w:left="0"/>
        <w:jc w:val="both"/>
        <w:rPr>
          <w:rFonts w:ascii="Times New Roman" w:hAnsi="Times New Roman" w:cs="Times New Roman"/>
          <w:sz w:val="24"/>
          <w:szCs w:val="24"/>
          <w:lang w:eastAsia="id-ID"/>
        </w:rPr>
      </w:pPr>
      <m:oMathPara>
        <m:oMath>
          <m:f>
            <m:fPr>
              <m:ctrlPr>
                <w:rPr>
                  <w:rFonts w:ascii="Cambria Math" w:hAnsi="Cambria Math" w:cs="Times New Roman"/>
                  <w:i/>
                  <w:sz w:val="24"/>
                  <w:szCs w:val="24"/>
                  <w:lang w:eastAsia="id-ID"/>
                </w:rPr>
              </m:ctrlPr>
            </m:fPr>
            <m:num>
              <m:r>
                <w:rPr>
                  <w:rFonts w:ascii="Cambria Math" w:hAnsi="Cambria Math" w:cs="Times New Roman"/>
                  <w:sz w:val="24"/>
                  <w:szCs w:val="24"/>
                  <w:lang w:eastAsia="id-ID"/>
                </w:rPr>
                <m:t>1</m:t>
              </m:r>
            </m:num>
            <m:den>
              <m:r>
                <w:rPr>
                  <w:rFonts w:ascii="Cambria Math" w:hAnsi="Cambria Math" w:cs="Times New Roman"/>
                  <w:sz w:val="24"/>
                  <w:szCs w:val="24"/>
                  <w:lang w:eastAsia="id-ID"/>
                </w:rPr>
                <m:t>4</m:t>
              </m:r>
            </m:den>
          </m:f>
          <m:d>
            <m:dPr>
              <m:ctrlPr>
                <w:rPr>
                  <w:rFonts w:ascii="Cambria Math" w:hAnsi="Cambria Math" w:cs="Times New Roman"/>
                  <w:i/>
                  <w:sz w:val="24"/>
                  <w:szCs w:val="24"/>
                  <w:lang w:eastAsia="id-ID"/>
                </w:rPr>
              </m:ctrlPr>
            </m:dPr>
            <m:e>
              <m:r>
                <w:rPr>
                  <w:rFonts w:ascii="Cambria Math" w:hAnsi="Cambria Math" w:cs="Times New Roman"/>
                  <w:sz w:val="24"/>
                  <w:szCs w:val="24"/>
                  <w:lang w:eastAsia="id-ID"/>
                </w:rPr>
                <m:t>60+8,33+33,67+48,3</m:t>
              </m:r>
            </m:e>
          </m:d>
          <m:r>
            <w:rPr>
              <w:rFonts w:ascii="Cambria Math" w:hAnsi="Cambria Math" w:cs="Times New Roman"/>
              <w:sz w:val="24"/>
              <w:szCs w:val="24"/>
              <w:lang w:eastAsia="id-ID"/>
            </w:rPr>
            <m:t>=37,5</m:t>
          </m:r>
        </m:oMath>
      </m:oMathPara>
    </w:p>
    <w:p w:rsidR="00241A9D" w:rsidRPr="001D044D" w:rsidRDefault="00241A9D" w:rsidP="00634260">
      <w:pPr>
        <w:spacing w:after="0" w:line="360" w:lineRule="auto"/>
        <w:ind w:firstLine="360"/>
        <w:jc w:val="both"/>
        <w:rPr>
          <w:rFonts w:ascii="Times New Roman" w:hAnsi="Times New Roman" w:cs="Times New Roman"/>
          <w:sz w:val="24"/>
          <w:szCs w:val="24"/>
          <w:lang w:eastAsia="id-ID"/>
        </w:rPr>
      </w:pPr>
      <w:r w:rsidRPr="001D044D">
        <w:rPr>
          <w:rFonts w:ascii="Times New Roman" w:hAnsi="Times New Roman" w:cs="Times New Roman"/>
          <w:sz w:val="24"/>
          <w:szCs w:val="24"/>
          <w:lang w:val="en-US" w:eastAsia="id-ID"/>
        </w:rPr>
        <w:t>Berdasarkan grafik diatas PT Phapros Tbk memiliki debt to asset rasio paling tinggi dengan rata-rata 60</w:t>
      </w:r>
      <w:r w:rsidRPr="001D044D">
        <w:rPr>
          <w:rFonts w:ascii="Times New Roman" w:hAnsi="Times New Roman" w:cs="Times New Roman"/>
          <w:sz w:val="24"/>
          <w:szCs w:val="24"/>
          <w:lang w:eastAsia="id-ID"/>
        </w:rPr>
        <w:t>%</w:t>
      </w:r>
      <w:r w:rsidRPr="001D044D">
        <w:rPr>
          <w:rFonts w:ascii="Times New Roman" w:hAnsi="Times New Roman" w:cs="Times New Roman"/>
          <w:sz w:val="24"/>
          <w:szCs w:val="24"/>
          <w:lang w:val="en-US" w:eastAsia="id-ID"/>
        </w:rPr>
        <w:t xml:space="preserve"> sehingga dapat dikatakan rasio yang tinggi ini menandakan </w:t>
      </w:r>
      <w:r w:rsidRPr="001D044D">
        <w:rPr>
          <w:rFonts w:ascii="Times New Roman" w:hAnsi="Times New Roman" w:cs="Times New Roman"/>
          <w:sz w:val="24"/>
          <w:szCs w:val="24"/>
          <w:lang w:val="en-US" w:eastAsia="id-ID"/>
        </w:rPr>
        <w:lastRenderedPageBreak/>
        <w:t>pinjaman cukup banyak. Dapat simpulkan bahwa PT Phapros menggunakan pembiayaan perusahaan dengan utang lebih tinggi daripada modal sendirinya. Sedangkan pada PT Industri Jamu dan Farmasi Sido Muncul Tbk miliki debt to asset rasio paling rendah 8,33</w:t>
      </w:r>
      <w:r w:rsidRPr="001D044D">
        <w:rPr>
          <w:rFonts w:ascii="Times New Roman" w:hAnsi="Times New Roman" w:cs="Times New Roman"/>
          <w:sz w:val="24"/>
          <w:szCs w:val="24"/>
          <w:lang w:eastAsia="id-ID"/>
        </w:rPr>
        <w:t>%</w:t>
      </w:r>
      <w:r w:rsidRPr="001D044D">
        <w:rPr>
          <w:rFonts w:ascii="Times New Roman" w:hAnsi="Times New Roman" w:cs="Times New Roman"/>
          <w:sz w:val="24"/>
          <w:szCs w:val="24"/>
          <w:lang w:val="en-US" w:eastAsia="id-ID"/>
        </w:rPr>
        <w:t xml:space="preserve"> sehingga bisa dikatakan bahwa penggunaan modal sendiri pada PT Pyridam lebih tinggi dari pada pinjaman. </w:t>
      </w:r>
    </w:p>
    <w:p w:rsidR="00241A9D" w:rsidRPr="001D044D" w:rsidRDefault="00241A9D" w:rsidP="00634260">
      <w:pPr>
        <w:spacing w:after="0" w:line="360" w:lineRule="auto"/>
        <w:ind w:firstLine="36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Jika dibandingkan dengan DER rata-rata indutri PT Industri Jamu dan Farmasi Sido Muncul Tbk lebih baik daripada ketiga perusahan lainnya karena rasio nya lebih rendah dari DER rata-rata industri hal ini berarti bahwa perusahaan tersebut dalam kondisi baik karena semakin sedikit aset yang dibiayai oleh hutangnya. Sedangkan PT Phapros Tbk, PT Merck Indonesia, PT Pyridam Farmasi Tbk berada diatas DER rata-rata industri sehingga menunjukkan ketiga perusahaan masih dalam kondisi kurang baik dilihat dari aset yang dibiayai oleh hutangnya masih banyak.</w:t>
      </w:r>
    </w:p>
    <w:p w:rsidR="00241A9D" w:rsidRPr="001D044D" w:rsidRDefault="00241A9D" w:rsidP="00634260">
      <w:pPr>
        <w:pStyle w:val="ListParagraph"/>
        <w:numPr>
          <w:ilvl w:val="0"/>
          <w:numId w:val="12"/>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RASIO PROFITABILITAS</w:t>
      </w:r>
    </w:p>
    <w:p w:rsidR="00241A9D" w:rsidRPr="001D044D" w:rsidRDefault="00241A9D" w:rsidP="00634260">
      <w:pPr>
        <w:pStyle w:val="ListParagraph"/>
        <w:numPr>
          <w:ilvl w:val="0"/>
          <w:numId w:val="16"/>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Profit Margin (%)</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598CB522" wp14:editId="060DC733">
            <wp:extent cx="5305425" cy="1533525"/>
            <wp:effectExtent l="0" t="0" r="9525" b="9525"/>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D044D" w:rsidRPr="001D044D" w:rsidRDefault="00241A9D" w:rsidP="00634260">
      <w:pPr>
        <w:spacing w:after="0" w:line="360" w:lineRule="auto"/>
        <w:ind w:firstLine="72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Dapat dilihat dari grafik di atas bahwa PT Industri Jamu dan Farmasi Sido Muncul Tbk dan PT Merck Indonesia mengalami kenaikan setiap tahunnya yang menunjukkan kondisi perusahaan yang semakin baik karena dapat menghasilkan profit yang tinggi dan manajemen yang efisien. Sedangkan PT Phapros Tbk dan PT Pyridam Farma Tbk mengalami penurunan setiap tahunnya, sehingga perusahaan perlu melakukan evaluasi manajemennya.</w:t>
      </w:r>
    </w:p>
    <w:p w:rsidR="00241A9D" w:rsidRPr="001D044D" w:rsidRDefault="00241A9D" w:rsidP="00634260">
      <w:pPr>
        <w:pStyle w:val="ListParagraph"/>
        <w:numPr>
          <w:ilvl w:val="0"/>
          <w:numId w:val="16"/>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Return on Total Asset (%)</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lastRenderedPageBreak/>
        <w:drawing>
          <wp:inline distT="0" distB="0" distL="114300" distR="114300" wp14:anchorId="599FADF1" wp14:editId="5DE0DC27">
            <wp:extent cx="5314950" cy="1552575"/>
            <wp:effectExtent l="0" t="0" r="19050" b="9525"/>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166AA9B3" wp14:editId="14FCF03A">
            <wp:extent cx="5314950" cy="1047750"/>
            <wp:effectExtent l="0" t="0" r="19050" b="1905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41A9D" w:rsidRPr="001D044D" w:rsidRDefault="00241A9D" w:rsidP="00634260">
      <w:pPr>
        <w:pStyle w:val="ListParagraph"/>
        <w:spacing w:after="0" w:line="360" w:lineRule="auto"/>
        <w:ind w:left="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Untuk ROA rata-rata industri dihitung menggunakan rata-rata aritmatika :</w:t>
      </w:r>
    </w:p>
    <w:p w:rsidR="00241A9D" w:rsidRPr="001D044D" w:rsidRDefault="00333191" w:rsidP="00634260">
      <w:pPr>
        <w:pStyle w:val="ListParagraph"/>
        <w:spacing w:after="0" w:line="360" w:lineRule="auto"/>
        <w:ind w:left="0"/>
        <w:jc w:val="both"/>
        <w:rPr>
          <w:rFonts w:ascii="Times New Roman" w:eastAsia="SimSun" w:hAnsi="Times New Roman" w:cs="Times New Roman"/>
          <w:sz w:val="24"/>
          <w:szCs w:val="24"/>
          <w:lang w:eastAsia="id-ID"/>
        </w:rPr>
      </w:pPr>
      <m:oMathPara>
        <m:oMath>
          <m:f>
            <m:fPr>
              <m:ctrlPr>
                <w:rPr>
                  <w:rFonts w:ascii="Cambria Math" w:hAnsi="Cambria Math" w:cs="Times New Roman"/>
                  <w:i/>
                  <w:sz w:val="24"/>
                  <w:szCs w:val="24"/>
                  <w:lang w:eastAsia="id-ID"/>
                </w:rPr>
              </m:ctrlPr>
            </m:fPr>
            <m:num>
              <m:r>
                <w:rPr>
                  <w:rFonts w:ascii="Cambria Math" w:hAnsi="Cambria Math" w:cs="Times New Roman"/>
                  <w:sz w:val="24"/>
                  <w:szCs w:val="24"/>
                  <w:lang w:eastAsia="id-ID"/>
                </w:rPr>
                <m:t>1</m:t>
              </m:r>
            </m:num>
            <m:den>
              <m:r>
                <w:rPr>
                  <w:rFonts w:ascii="Cambria Math" w:hAnsi="Cambria Math" w:cs="Times New Roman"/>
                  <w:sz w:val="24"/>
                  <w:szCs w:val="24"/>
                  <w:lang w:eastAsia="id-ID"/>
                </w:rPr>
                <m:t>4</m:t>
              </m:r>
            </m:den>
          </m:f>
          <m:d>
            <m:dPr>
              <m:ctrlPr>
                <w:rPr>
                  <w:rFonts w:ascii="Cambria Math" w:hAnsi="Cambria Math" w:cs="Times New Roman"/>
                  <w:i/>
                  <w:sz w:val="24"/>
                  <w:szCs w:val="24"/>
                  <w:lang w:eastAsia="id-ID"/>
                </w:rPr>
              </m:ctrlPr>
            </m:dPr>
            <m:e>
              <m:r>
                <w:rPr>
                  <w:rFonts w:ascii="Cambria Math" w:hAnsi="Cambria Math" w:cs="Times New Roman"/>
                  <w:sz w:val="24"/>
                  <w:szCs w:val="24"/>
                  <w:lang w:eastAsia="id-ID"/>
                </w:rPr>
                <m:t>3+26+10+0,19</m:t>
              </m:r>
            </m:e>
          </m:d>
          <m:r>
            <w:rPr>
              <w:rFonts w:ascii="Cambria Math" w:hAnsi="Cambria Math" w:cs="Times New Roman"/>
              <w:sz w:val="24"/>
              <w:szCs w:val="24"/>
              <w:lang w:eastAsia="id-ID"/>
            </w:rPr>
            <m:t>=9,80%</m:t>
          </m:r>
        </m:oMath>
      </m:oMathPara>
    </w:p>
    <w:p w:rsidR="00241A9D" w:rsidRPr="001D044D" w:rsidRDefault="00241A9D" w:rsidP="00634260">
      <w:pPr>
        <w:spacing w:after="0" w:line="360" w:lineRule="auto"/>
        <w:ind w:firstLine="720"/>
        <w:jc w:val="both"/>
        <w:rPr>
          <w:rFonts w:ascii="Times New Roman" w:eastAsia="SimSun" w:hAnsi="Times New Roman" w:cs="Times New Roman"/>
          <w:sz w:val="24"/>
          <w:szCs w:val="24"/>
          <w:lang w:eastAsia="id-ID"/>
        </w:rPr>
      </w:pPr>
      <w:r w:rsidRPr="001D044D">
        <w:rPr>
          <w:rFonts w:ascii="Times New Roman" w:eastAsia="SimSun" w:hAnsi="Times New Roman" w:cs="Times New Roman"/>
          <w:sz w:val="24"/>
          <w:szCs w:val="24"/>
          <w:lang w:eastAsia="id-ID"/>
        </w:rPr>
        <w:t xml:space="preserve">Berdasarkan grafik tersebut dapat dilihat bahwa ROA PT Industri Jamu dan Farmasi Sido Muncul merupakan yang paling tinggi dari ketiga perusahaan farmasi yang lain. Sementara, ROA pada PT Merck Indonesia Tbk cenderung mengalami  mengalami fluktuasi dari tahun 2019-2020, meskipun mengalami penurunan pada tahun 2020 tetapi mengalami kenaikan yang cukup tinggi pada tahun 2021, jika dibandingkan dengan dua perusahaan yang lain yaitu PT Phapros Tbk dan PT pyridam Farma Tbk, PT Merck Indonesia masih dikatakan lebih baik dibandingkan dua perusahaan tersebut. </w:t>
      </w:r>
    </w:p>
    <w:p w:rsidR="00241A9D" w:rsidRPr="001D044D" w:rsidRDefault="00241A9D" w:rsidP="00634260">
      <w:pPr>
        <w:spacing w:after="0" w:line="360" w:lineRule="auto"/>
        <w:ind w:firstLine="720"/>
        <w:jc w:val="both"/>
        <w:rPr>
          <w:rFonts w:ascii="Times New Roman" w:eastAsia="SimSun" w:hAnsi="Times New Roman" w:cs="Times New Roman"/>
          <w:sz w:val="24"/>
          <w:szCs w:val="24"/>
          <w:lang w:eastAsia="id-ID"/>
        </w:rPr>
      </w:pPr>
      <w:r w:rsidRPr="001D044D">
        <w:rPr>
          <w:rFonts w:ascii="Times New Roman" w:eastAsia="SimSun" w:hAnsi="Times New Roman" w:cs="Times New Roman"/>
          <w:sz w:val="24"/>
          <w:szCs w:val="24"/>
          <w:lang w:eastAsia="id-ID"/>
        </w:rPr>
        <w:t>Jika dibandingkan dengan melihat rata-rata industrinya, bisa dilihat bahwa PT Industri Jamu dan Farmasi Sido Muncul Tbk dan PT Merck Indonesia Tbk ROAnya berada di atas rata-rata industri, sementara untuk PT Pharos TBK dan PT Pyridam Farma Tbk ROAnya masih sangat rendah, dan masih jauh berada di bawah rata-rata industri untuk perusahaan farmasi. ROA yang tinggi pada PT Industri Jamu dan Farmasi Sido Muncul Tbk dan PT Merck Indonesia Tbk menunjukkan efisiensi manajemen aset yang baik pada kedua perusahaan tersebut, perusahaan memiliki kinerja yang bagus dalam menghasilkan laba bersih untuk pengembalian total aktiva yang dimiliki. hingga diharapkan kepada perusahaan-perusahaan farmasi yang lain yang ROAnya belum mencapai rata-rata industri untuk memperbaiki efisiensi manajemen aset perusahaanya agar menjadi lebih baik sehingga dapat mencapai rasio yang sesuai dengan rata-rata industrinya</w:t>
      </w:r>
    </w:p>
    <w:p w:rsidR="00241A9D" w:rsidRPr="001D044D" w:rsidRDefault="00241A9D" w:rsidP="00634260">
      <w:pPr>
        <w:pStyle w:val="ListParagraph"/>
        <w:numPr>
          <w:ilvl w:val="0"/>
          <w:numId w:val="16"/>
        </w:numPr>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lastRenderedPageBreak/>
        <w:t>Return on Equity (%)</w:t>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46989D63" wp14:editId="67DAC145">
            <wp:extent cx="5381625" cy="1524000"/>
            <wp:effectExtent l="0" t="0" r="9525" b="19050"/>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41A9D" w:rsidRPr="001D044D" w:rsidRDefault="00241A9D" w:rsidP="00634260">
      <w:pPr>
        <w:pStyle w:val="ListParagraph"/>
        <w:spacing w:after="0" w:line="360" w:lineRule="auto"/>
        <w:ind w:left="0"/>
        <w:jc w:val="both"/>
        <w:rPr>
          <w:rFonts w:ascii="Times New Roman" w:hAnsi="Times New Roman" w:cs="Times New Roman"/>
          <w:b/>
          <w:sz w:val="24"/>
          <w:szCs w:val="24"/>
          <w:lang w:eastAsia="id-ID"/>
        </w:rPr>
      </w:pPr>
      <w:r w:rsidRPr="001D044D">
        <w:rPr>
          <w:rFonts w:ascii="Times New Roman" w:hAnsi="Times New Roman" w:cs="Times New Roman"/>
          <w:b/>
          <w:noProof/>
          <w:sz w:val="24"/>
          <w:szCs w:val="24"/>
          <w:lang w:val="en-US"/>
        </w:rPr>
        <w:drawing>
          <wp:inline distT="0" distB="0" distL="114300" distR="114300" wp14:anchorId="4E3559E5" wp14:editId="6FC67A42">
            <wp:extent cx="5419725" cy="1181100"/>
            <wp:effectExtent l="0" t="0" r="9525" b="19050"/>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41A9D" w:rsidRPr="001D044D" w:rsidRDefault="00241A9D" w:rsidP="00634260">
      <w:pPr>
        <w:pStyle w:val="ListParagraph"/>
        <w:spacing w:after="0" w:line="360" w:lineRule="auto"/>
        <w:ind w:left="0"/>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Untuk ROE rata-rata industri dihitung menggunakan rata-rata aritmatika :</w:t>
      </w:r>
    </w:p>
    <w:p w:rsidR="00241A9D" w:rsidRPr="001D044D" w:rsidRDefault="00333191" w:rsidP="00634260">
      <w:pPr>
        <w:pStyle w:val="ListParagraph"/>
        <w:spacing w:after="0" w:line="360" w:lineRule="auto"/>
        <w:ind w:left="0"/>
        <w:jc w:val="both"/>
        <w:rPr>
          <w:rFonts w:ascii="Times New Roman" w:eastAsia="SimSun" w:hAnsi="Times New Roman" w:cs="Times New Roman"/>
          <w:sz w:val="24"/>
          <w:szCs w:val="24"/>
          <w:lang w:eastAsia="id-ID"/>
        </w:rPr>
      </w:pPr>
      <m:oMathPara>
        <m:oMath>
          <m:f>
            <m:fPr>
              <m:ctrlPr>
                <w:rPr>
                  <w:rFonts w:ascii="Cambria Math" w:hAnsi="Cambria Math" w:cs="Times New Roman"/>
                  <w:i/>
                  <w:sz w:val="24"/>
                  <w:szCs w:val="24"/>
                  <w:lang w:eastAsia="id-ID"/>
                </w:rPr>
              </m:ctrlPr>
            </m:fPr>
            <m:num>
              <m:r>
                <w:rPr>
                  <w:rFonts w:ascii="Cambria Math" w:hAnsi="Cambria Math" w:cs="Times New Roman"/>
                  <w:sz w:val="24"/>
                  <w:szCs w:val="24"/>
                  <w:lang w:eastAsia="id-ID"/>
                </w:rPr>
                <m:t>1</m:t>
              </m:r>
            </m:num>
            <m:den>
              <m:r>
                <w:rPr>
                  <w:rFonts w:ascii="Cambria Math" w:hAnsi="Cambria Math" w:cs="Times New Roman"/>
                  <w:sz w:val="24"/>
                  <w:szCs w:val="24"/>
                  <w:lang w:eastAsia="id-ID"/>
                </w:rPr>
                <m:t>4</m:t>
              </m:r>
            </m:den>
          </m:f>
          <m:d>
            <m:dPr>
              <m:ctrlPr>
                <w:rPr>
                  <w:rFonts w:ascii="Cambria Math" w:hAnsi="Cambria Math" w:cs="Times New Roman"/>
                  <w:i/>
                  <w:sz w:val="24"/>
                  <w:szCs w:val="24"/>
                  <w:lang w:eastAsia="id-ID"/>
                </w:rPr>
              </m:ctrlPr>
            </m:dPr>
            <m:e>
              <m:r>
                <w:rPr>
                  <w:rFonts w:ascii="Cambria Math" w:hAnsi="Cambria Math" w:cs="Times New Roman"/>
                  <w:sz w:val="24"/>
                  <w:szCs w:val="24"/>
                  <w:lang w:eastAsia="id-ID"/>
                </w:rPr>
                <m:t>7+30+4+0,10</m:t>
              </m:r>
            </m:e>
          </m:d>
          <m:r>
            <w:rPr>
              <w:rFonts w:ascii="Cambria Math" w:hAnsi="Cambria Math" w:cs="Times New Roman"/>
              <w:sz w:val="24"/>
              <w:szCs w:val="24"/>
              <w:lang w:eastAsia="id-ID"/>
            </w:rPr>
            <m:t>=10,27%</m:t>
          </m:r>
        </m:oMath>
      </m:oMathPara>
    </w:p>
    <w:p w:rsidR="00241A9D" w:rsidRPr="001D044D" w:rsidRDefault="00241A9D" w:rsidP="00BE6227">
      <w:pPr>
        <w:spacing w:after="0" w:line="360" w:lineRule="auto"/>
        <w:ind w:firstLine="720"/>
        <w:jc w:val="both"/>
        <w:rPr>
          <w:rFonts w:ascii="Times New Roman" w:eastAsia="SimSun" w:hAnsi="Times New Roman" w:cs="Times New Roman"/>
          <w:sz w:val="24"/>
          <w:szCs w:val="24"/>
          <w:lang w:eastAsia="id-ID"/>
        </w:rPr>
      </w:pPr>
      <w:r w:rsidRPr="001D044D">
        <w:rPr>
          <w:rFonts w:ascii="Times New Roman" w:eastAsia="SimSun" w:hAnsi="Times New Roman" w:cs="Times New Roman"/>
          <w:sz w:val="24"/>
          <w:szCs w:val="24"/>
          <w:lang w:eastAsia="id-ID"/>
        </w:rPr>
        <w:t>Berdasarkan grafik tersebut diketahui Return On Equity pada PT Industri Jamu dan Farmasi Sido Muncul Tbk yang paling tinggi di antara perusahaan-perusahaan farmasi yang lain serta mengalami kenaikan dari tahun ke tahun. Pada PT Phapros Tbk ROEnya mengalami penurunan dari tahun ke tahun dan pada PT Pyridam Farma Tbk returon on Equitynya dari tahun ke tahun mengalami fluktuasi. ROE pada tahun 2019-2020 mengalami peningkatan dari 12% menjadi 21% tetapi pada tahun 2021 mengalami penurunan yang drastis yaitu menjadi 6%. Sedangkan, untuk PT Merck Indonesia Tbk ROE meskipun pada tahun 2019-2020 ROE perusahaan masih berada pada angka yang sama yaitu sebesar 3% tetapi pada tahun 2021 mengalami peningkatan yaitu sebesar 6%.</w:t>
      </w:r>
      <w:r w:rsidR="00BE6227">
        <w:rPr>
          <w:rFonts w:ascii="Times New Roman" w:eastAsia="SimSun" w:hAnsi="Times New Roman" w:cs="Times New Roman"/>
          <w:sz w:val="24"/>
          <w:szCs w:val="24"/>
          <w:lang w:eastAsia="id-ID"/>
        </w:rPr>
        <w:t xml:space="preserve"> </w:t>
      </w:r>
      <w:r w:rsidRPr="001D044D">
        <w:rPr>
          <w:rFonts w:ascii="Times New Roman" w:eastAsia="SimSun" w:hAnsi="Times New Roman" w:cs="Times New Roman"/>
          <w:sz w:val="24"/>
          <w:szCs w:val="24"/>
          <w:lang w:eastAsia="id-ID"/>
        </w:rPr>
        <w:t xml:space="preserve">Berdasarkan rata-rata industrinya bisa dilihat bahwa PT Industri Jamu dan Farmasi Sido muncul return on Equitynya berada di atas rata-rata industri, kemudian diikuti oleh PT Pyridam.Sedangkan kedua perusahaan farmasi lainnya belum mencapai rata-rata industri untuk perusahaan farmasi. </w:t>
      </w:r>
    </w:p>
    <w:p w:rsidR="00241A9D" w:rsidRPr="001D044D" w:rsidRDefault="00241A9D" w:rsidP="00634260">
      <w:pPr>
        <w:spacing w:after="0" w:line="360" w:lineRule="auto"/>
        <w:ind w:firstLine="720"/>
        <w:jc w:val="both"/>
        <w:rPr>
          <w:rFonts w:ascii="Times New Roman" w:eastAsia="SimSun" w:hAnsi="Times New Roman" w:cs="Times New Roman"/>
          <w:sz w:val="24"/>
          <w:szCs w:val="24"/>
          <w:lang w:eastAsia="id-ID"/>
        </w:rPr>
      </w:pPr>
      <w:r w:rsidRPr="001D044D">
        <w:rPr>
          <w:rFonts w:ascii="Times New Roman" w:eastAsia="SimSun" w:hAnsi="Times New Roman" w:cs="Times New Roman"/>
          <w:sz w:val="24"/>
          <w:szCs w:val="24"/>
          <w:lang w:eastAsia="id-ID"/>
        </w:rPr>
        <w:t xml:space="preserve">Penilaian kinerja pengelolaan investasi modal masing-masing perusahaan dalam mencapai profitabilitas (ROE) menunjukkan trend yang baik sepanjang tahun 2019-2021 pada PT Industri Jamu dan Farmasi Sido muncul dan PT Pyridam, Hal ini menunjukkan bahwa manajemen investasi perusahaan terbukti telah efektif dalam menghasilkan laba. Sedangkan untuk PT Merck Indonesia Tbk, PT Phapros Tbk return </w:t>
      </w:r>
      <w:r w:rsidRPr="001D044D">
        <w:rPr>
          <w:rFonts w:ascii="Times New Roman" w:eastAsia="SimSun" w:hAnsi="Times New Roman" w:cs="Times New Roman"/>
          <w:sz w:val="24"/>
          <w:szCs w:val="24"/>
          <w:lang w:eastAsia="id-ID"/>
        </w:rPr>
        <w:lastRenderedPageBreak/>
        <w:t>on Equitynya belum dikatakan baik/sehat sehingga  diharapkan agar perusahaan meningkatkan efektivitasnya dalam pengelolaan investasinya.</w:t>
      </w:r>
    </w:p>
    <w:p w:rsidR="00241A9D" w:rsidRPr="001D044D" w:rsidRDefault="00241A9D" w:rsidP="00634260">
      <w:pPr>
        <w:spacing w:after="0" w:line="360" w:lineRule="auto"/>
        <w:jc w:val="both"/>
        <w:rPr>
          <w:rFonts w:ascii="Times New Roman" w:eastAsia="SimSun" w:hAnsi="Times New Roman" w:cs="Times New Roman"/>
          <w:b/>
          <w:sz w:val="24"/>
          <w:szCs w:val="24"/>
          <w:lang w:eastAsia="id-ID"/>
        </w:rPr>
      </w:pPr>
      <w:r w:rsidRPr="001D044D">
        <w:rPr>
          <w:rFonts w:ascii="Times New Roman" w:eastAsia="SimSun" w:hAnsi="Times New Roman" w:cs="Times New Roman"/>
          <w:b/>
          <w:sz w:val="24"/>
          <w:szCs w:val="24"/>
          <w:lang w:eastAsia="id-ID"/>
        </w:rPr>
        <w:t>KESIMPULAN</w:t>
      </w:r>
    </w:p>
    <w:p w:rsidR="00241A9D" w:rsidRPr="001D044D" w:rsidRDefault="00241A9D" w:rsidP="00A36CAF">
      <w:pPr>
        <w:spacing w:after="0" w:line="360" w:lineRule="auto"/>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Berdasarkan pembahasan evaluasi kinerja melalui analisis rasio keuangan pada perusahaan farmasi yang terdiri dari PT Phapros Tbk, PT Industri Jamu dan Farmasi Sido Muncul Tbk, PT Merck Indonesia dan PT Pyridam Farmasi Tbk dapat disimpulkan bahwa PT Industri Jamu dan Farmasi Sido Muncul Tbk merupakan perusahaan yang memiliki prospek pertumbuhan yang cukup tinggi dibandingkan ketiga perusahaan lainnya.</w:t>
      </w:r>
      <w:r w:rsidR="00A33638">
        <w:rPr>
          <w:rFonts w:ascii="Times New Roman" w:hAnsi="Times New Roman" w:cs="Times New Roman"/>
          <w:sz w:val="24"/>
          <w:szCs w:val="24"/>
          <w:lang w:eastAsia="id-ID"/>
        </w:rPr>
        <w:t xml:space="preserve"> </w:t>
      </w:r>
      <w:r w:rsidRPr="001D044D">
        <w:rPr>
          <w:rFonts w:ascii="Times New Roman" w:hAnsi="Times New Roman" w:cs="Times New Roman"/>
          <w:sz w:val="24"/>
          <w:szCs w:val="24"/>
          <w:lang w:eastAsia="id-ID"/>
        </w:rPr>
        <w:t>Sementara itu, berdasarkan hasil analisis cross section dengan rata-rata industrinya PT Industri Jamu dan Farmasi Sido Muncul Tbk merupakan perusahaan dengan prospek pertumbuhan yang  tinggi dibandingkan ketiga perusahaan lainnya. Jika dapat diberikan peringkat maka dapat disimpulkan yang menempati posisi pertama yaitu PT Industri Jamu dan Farmasi Sido Muncul, kemudian diikuti PT Merck Indonesia, PT Phapros Tbk, dan yang terakhir PT Pyridam Farmasi Tbk.</w:t>
      </w:r>
    </w:p>
    <w:p w:rsidR="00241A9D" w:rsidRPr="001D044D" w:rsidRDefault="00241A9D" w:rsidP="00634260">
      <w:pPr>
        <w:spacing w:after="0" w:line="360" w:lineRule="auto"/>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SARAN</w:t>
      </w:r>
    </w:p>
    <w:p w:rsidR="00241A9D" w:rsidRPr="001D044D" w:rsidRDefault="00241A9D" w:rsidP="00A36CAF">
      <w:pPr>
        <w:spacing w:after="0" w:line="360" w:lineRule="auto"/>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PT Phapros Tbk, PT Industri Jamu dan Farmasi Sido Muncul Tbk, PT Merck Indonesia dan PT Pyridam Farmasi Tbk  dapat meningkatkan peluang finansial dan memanfaatkannya secara maksimal, tidak lupa juga meningkatkan efisiensi manajemen perusahaan agar rasio perusahaan yang dihasilkan dapat dikatakan baik atau bisa setara bahkan bisa melebihi ROA,ROE, dan NPM rata-rata industri sehingga menjadikan sebagai perusahaan dengan prospek pertumbuhan yang baik</w:t>
      </w:r>
    </w:p>
    <w:p w:rsidR="001D044D" w:rsidRPr="001D044D" w:rsidRDefault="00241A9D" w:rsidP="00A36CAF">
      <w:pPr>
        <w:spacing w:after="0" w:line="360" w:lineRule="auto"/>
        <w:jc w:val="both"/>
        <w:rPr>
          <w:rFonts w:ascii="Times New Roman" w:hAnsi="Times New Roman" w:cs="Times New Roman"/>
          <w:sz w:val="24"/>
          <w:szCs w:val="24"/>
          <w:lang w:eastAsia="id-ID"/>
        </w:rPr>
      </w:pPr>
      <w:r w:rsidRPr="001D044D">
        <w:rPr>
          <w:rFonts w:ascii="Times New Roman" w:hAnsi="Times New Roman" w:cs="Times New Roman"/>
          <w:sz w:val="24"/>
          <w:szCs w:val="24"/>
          <w:lang w:eastAsia="id-ID"/>
        </w:rPr>
        <w:t>Berdasarkan peringkat diatas, investor disarankan berinvestasi pada PT Industri Jamu dan Farmasi Sido Muncul Tbk karena ROE nya di atas rata-rata industri dan kapasitas  membayar dividen juga masih bisa dikatakan aman.</w:t>
      </w:r>
    </w:p>
    <w:p w:rsidR="00241A9D" w:rsidRPr="001D044D" w:rsidRDefault="00241A9D" w:rsidP="00634260">
      <w:pPr>
        <w:spacing w:after="0" w:line="360" w:lineRule="auto"/>
        <w:ind w:left="720" w:hanging="720"/>
        <w:jc w:val="both"/>
        <w:rPr>
          <w:rFonts w:ascii="Times New Roman" w:hAnsi="Times New Roman" w:cs="Times New Roman"/>
          <w:b/>
          <w:sz w:val="24"/>
          <w:szCs w:val="24"/>
          <w:lang w:eastAsia="id-ID"/>
        </w:rPr>
      </w:pPr>
      <w:r w:rsidRPr="001D044D">
        <w:rPr>
          <w:rFonts w:ascii="Times New Roman" w:hAnsi="Times New Roman" w:cs="Times New Roman"/>
          <w:b/>
          <w:sz w:val="24"/>
          <w:szCs w:val="24"/>
          <w:lang w:eastAsia="id-ID"/>
        </w:rPr>
        <w:t>DAFTAR PUSTAKA</w:t>
      </w:r>
    </w:p>
    <w:p w:rsidR="00241A9D" w:rsidRPr="001D044D" w:rsidRDefault="00241A9D" w:rsidP="00634260">
      <w:pPr>
        <w:pStyle w:val="Bibliography"/>
        <w:spacing w:after="0" w:line="360" w:lineRule="auto"/>
        <w:ind w:left="720" w:hanging="720"/>
        <w:jc w:val="both"/>
        <w:rPr>
          <w:rFonts w:ascii="Times New Roman" w:hAnsi="Times New Roman" w:cs="Times New Roman"/>
          <w:noProof/>
          <w:sz w:val="24"/>
          <w:szCs w:val="24"/>
        </w:rPr>
      </w:pPr>
      <w:r w:rsidRPr="001D044D">
        <w:rPr>
          <w:rFonts w:ascii="Times New Roman" w:hAnsi="Times New Roman" w:cs="Times New Roman"/>
          <w:noProof/>
          <w:sz w:val="24"/>
          <w:szCs w:val="24"/>
        </w:rPr>
        <w:t xml:space="preserve">Dr. Mamduh M. Hanafi, M.B.A., &amp; Prof. Dr. Abdul Halim, M.B.A., Akt. (2014). </w:t>
      </w:r>
      <w:r w:rsidRPr="001D044D">
        <w:rPr>
          <w:rFonts w:ascii="Times New Roman" w:hAnsi="Times New Roman" w:cs="Times New Roman"/>
          <w:i/>
          <w:iCs/>
          <w:noProof/>
          <w:sz w:val="24"/>
          <w:szCs w:val="24"/>
        </w:rPr>
        <w:t>Analisis Laporan Keuangan.</w:t>
      </w:r>
      <w:r w:rsidRPr="001D044D">
        <w:rPr>
          <w:rFonts w:ascii="Times New Roman" w:hAnsi="Times New Roman" w:cs="Times New Roman"/>
          <w:noProof/>
          <w:sz w:val="24"/>
          <w:szCs w:val="24"/>
        </w:rPr>
        <w:t xml:space="preserve"> Yogyakarta: UPP STIM YKPN.</w:t>
      </w:r>
    </w:p>
    <w:p w:rsidR="00241A9D" w:rsidRPr="001D044D" w:rsidRDefault="00241A9D" w:rsidP="00634260">
      <w:pPr>
        <w:pStyle w:val="Bibliography"/>
        <w:spacing w:after="0" w:line="360" w:lineRule="auto"/>
        <w:ind w:left="720" w:hanging="720"/>
        <w:jc w:val="both"/>
        <w:rPr>
          <w:rFonts w:ascii="Times New Roman" w:hAnsi="Times New Roman" w:cs="Times New Roman"/>
          <w:noProof/>
          <w:sz w:val="24"/>
          <w:szCs w:val="24"/>
          <w:lang w:val="en-US"/>
        </w:rPr>
      </w:pPr>
      <w:r w:rsidRPr="001D044D">
        <w:rPr>
          <w:rFonts w:ascii="Times New Roman" w:hAnsi="Times New Roman" w:cs="Times New Roman"/>
          <w:noProof/>
          <w:sz w:val="24"/>
          <w:szCs w:val="24"/>
        </w:rPr>
        <w:t xml:space="preserve">Hery, S. M. (2016). </w:t>
      </w:r>
      <w:r w:rsidRPr="001D044D">
        <w:rPr>
          <w:rFonts w:ascii="Times New Roman" w:hAnsi="Times New Roman" w:cs="Times New Roman"/>
          <w:i/>
          <w:iCs/>
          <w:noProof/>
          <w:sz w:val="24"/>
          <w:szCs w:val="24"/>
        </w:rPr>
        <w:t>Analisis Laporan Keuangan.</w:t>
      </w:r>
      <w:r w:rsidRPr="001D044D">
        <w:rPr>
          <w:rFonts w:ascii="Times New Roman" w:hAnsi="Times New Roman" w:cs="Times New Roman"/>
          <w:noProof/>
          <w:sz w:val="24"/>
          <w:szCs w:val="24"/>
        </w:rPr>
        <w:t xml:space="preserve"> Jakarta: PT Grasindo.</w:t>
      </w:r>
    </w:p>
    <w:p w:rsidR="00241A9D" w:rsidRPr="001D044D" w:rsidRDefault="00F60B7C" w:rsidP="00634260">
      <w:pPr>
        <w:spacing w:after="0" w:line="36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Oktavian, W. (2011) </w:t>
      </w:r>
      <w:r w:rsidR="00160765">
        <w:rPr>
          <w:rFonts w:ascii="Times New Roman" w:eastAsia="Times New Roman" w:hAnsi="Times New Roman" w:cs="Times New Roman"/>
          <w:sz w:val="24"/>
          <w:szCs w:val="24"/>
        </w:rPr>
        <w:t xml:space="preserve">Pengertian Time Series., Blogspot.com. </w:t>
      </w:r>
      <w:r w:rsidR="00241A9D" w:rsidRPr="001D044D">
        <w:rPr>
          <w:rFonts w:ascii="Times New Roman" w:eastAsia="Times New Roman" w:hAnsi="Times New Roman" w:cs="Times New Roman"/>
          <w:sz w:val="24"/>
          <w:szCs w:val="24"/>
          <w:lang w:val="en-US"/>
        </w:rPr>
        <w:t>http://wenthyoktavin.blogspot.com/2011/12/time-series-deret-berkala_3237.html</w:t>
      </w:r>
    </w:p>
    <w:p w:rsidR="00BB77EA" w:rsidRPr="001D044D" w:rsidRDefault="00160765" w:rsidP="00634260">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Digensia (2012) Analisa Time Series., Wordpress. </w:t>
      </w:r>
      <w:r w:rsidR="00241A9D" w:rsidRPr="001D044D">
        <w:rPr>
          <w:rFonts w:ascii="Times New Roman" w:eastAsia="Times New Roman" w:hAnsi="Times New Roman" w:cs="Times New Roman"/>
          <w:sz w:val="24"/>
          <w:szCs w:val="24"/>
          <w:lang w:val="en-US"/>
        </w:rPr>
        <w:t>http://digensia.wordpress.com/2012/08/24/analisa-time-series/</w:t>
      </w:r>
    </w:p>
    <w:sectPr w:rsidR="00BB77EA" w:rsidRPr="001D044D" w:rsidSect="00CE35BC">
      <w:headerReference w:type="even" r:id="rId32"/>
      <w:headerReference w:type="first" r:id="rId33"/>
      <w:footerReference w:type="first" r:id="rId34"/>
      <w:pgSz w:w="11906" w:h="16838"/>
      <w:pgMar w:top="1242" w:right="1701" w:bottom="1701" w:left="1701" w:header="0" w:footer="0" w:gutter="0"/>
      <w:pgNumType w:start="3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191" w:rsidRDefault="00333191">
      <w:pPr>
        <w:spacing w:after="0" w:line="240" w:lineRule="auto"/>
      </w:pPr>
      <w:r>
        <w:separator/>
      </w:r>
    </w:p>
  </w:endnote>
  <w:endnote w:type="continuationSeparator" w:id="0">
    <w:p w:rsidR="00333191" w:rsidRDefault="0033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BC" w:rsidRPr="006B42D6" w:rsidRDefault="00CE35BC" w:rsidP="00CE35BC">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34</w:t>
    </w:r>
    <w:r>
      <w:rPr>
        <w:rFonts w:ascii="Tahoma" w:eastAsia="Tahoma" w:hAnsi="Tahoma" w:cs="Tahoma"/>
        <w:sz w:val="20"/>
        <w:szCs w:val="20"/>
      </w:rPr>
      <w:fldChar w:fldCharType="end"/>
    </w:r>
    <w:r>
      <w:rPr>
        <w:rFonts w:ascii="Tahoma" w:eastAsia="Tahoma" w:hAnsi="Tahoma" w:cs="Tahoma"/>
        <w:sz w:val="20"/>
        <w:szCs w:val="20"/>
      </w:rPr>
      <w:t xml:space="preserve">        </w:t>
    </w:r>
    <w:r w:rsidRPr="007D6A0A">
      <w:rPr>
        <w:rFonts w:ascii="Tahoma" w:eastAsia="Tahoma" w:hAnsi="Tahoma" w:cs="Tahoma"/>
        <w:b/>
        <w:sz w:val="20"/>
        <w:szCs w:val="20"/>
      </w:rPr>
      <w:t>GEMILANG</w:t>
    </w:r>
    <w:r>
      <w:rPr>
        <w:rFonts w:ascii="Tahoma" w:eastAsia="Tahoma" w:hAnsi="Tahoma" w:cs="Tahoma"/>
        <w:sz w:val="20"/>
        <w:szCs w:val="20"/>
      </w:rPr>
      <w:t xml:space="preserve"> - VOLUME </w:t>
    </w:r>
    <w:r>
      <w:rPr>
        <w:rFonts w:ascii="Tahoma" w:eastAsia="Tahoma" w:hAnsi="Tahoma" w:cs="Tahoma"/>
        <w:sz w:val="20"/>
        <w:szCs w:val="20"/>
        <w:lang w:val="en-GB"/>
      </w:rPr>
      <w:t>3</w:t>
    </w:r>
    <w:r>
      <w:rPr>
        <w:rFonts w:ascii="Tahoma" w:eastAsia="Tahoma" w:hAnsi="Tahoma" w:cs="Tahoma"/>
        <w:sz w:val="20"/>
        <w:szCs w:val="20"/>
      </w:rPr>
      <w:t xml:space="preserve">, NO. </w:t>
    </w:r>
    <w:r>
      <w:rPr>
        <w:rFonts w:ascii="Tahoma" w:eastAsia="Tahoma" w:hAnsi="Tahoma" w:cs="Tahoma"/>
        <w:sz w:val="20"/>
        <w:szCs w:val="20"/>
        <w:lang w:val="en-GB"/>
      </w:rPr>
      <w:t>1</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58752" behindDoc="0" locked="0" layoutInCell="1" hidden="0" allowOverlap="1" wp14:anchorId="53E636A3" wp14:editId="41CAECC6">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19DB6DD6"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5875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59776" behindDoc="0" locked="0" layoutInCell="1" hidden="0" allowOverlap="1" wp14:anchorId="20EA2E70" wp14:editId="5304559A">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A4EF523" id="Straight Arrow Connector 659" o:spid="_x0000_s1026" type="#_x0000_t32" style="position:absolute;margin-left:28pt;margin-top:12pt;width:0;height:1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JANUARI 2023</w:t>
    </w:r>
  </w:p>
  <w:p w:rsidR="00CE35BC" w:rsidRDefault="00CE35BC" w:rsidP="00CE35BC">
    <w:pPr>
      <w:pBdr>
        <w:top w:val="nil"/>
        <w:left w:val="nil"/>
        <w:bottom w:val="nil"/>
        <w:right w:val="nil"/>
        <w:between w:val="nil"/>
      </w:pBdr>
      <w:tabs>
        <w:tab w:val="center" w:pos="4513"/>
        <w:tab w:val="right" w:pos="9026"/>
      </w:tabs>
      <w:spacing w:after="0" w:line="240" w:lineRule="auto"/>
      <w:rPr>
        <w:color w:val="000000"/>
      </w:rPr>
    </w:pPr>
  </w:p>
  <w:p w:rsidR="00CE35BC" w:rsidRDefault="00CE35BC" w:rsidP="00CE35BC">
    <w:pPr>
      <w:pBdr>
        <w:top w:val="nil"/>
        <w:left w:val="nil"/>
        <w:bottom w:val="nil"/>
        <w:right w:val="nil"/>
        <w:between w:val="nil"/>
      </w:pBdr>
      <w:tabs>
        <w:tab w:val="center" w:pos="4513"/>
        <w:tab w:val="right" w:pos="9026"/>
      </w:tabs>
      <w:spacing w:after="0" w:line="240" w:lineRule="auto"/>
      <w:rPr>
        <w:color w:val="000000"/>
      </w:rPr>
    </w:pPr>
  </w:p>
  <w:p w:rsidR="00CE35BC" w:rsidRDefault="00CE35BC" w:rsidP="00CE35BC">
    <w:pPr>
      <w:pBdr>
        <w:top w:val="nil"/>
        <w:left w:val="nil"/>
        <w:bottom w:val="nil"/>
        <w:right w:val="nil"/>
        <w:between w:val="nil"/>
      </w:pBdr>
      <w:tabs>
        <w:tab w:val="center" w:pos="4513"/>
        <w:tab w:val="right" w:pos="9026"/>
      </w:tabs>
      <w:spacing w:after="0" w:line="240" w:lineRule="auto"/>
      <w:rPr>
        <w:color w:val="000000"/>
      </w:rPr>
    </w:pPr>
  </w:p>
  <w:p w:rsidR="00CE35BC" w:rsidRDefault="00CE35BC" w:rsidP="00CE35BC">
    <w:pPr>
      <w:pStyle w:val="Footer"/>
    </w:pPr>
  </w:p>
  <w:p w:rsidR="00CE35BC" w:rsidRDefault="00CE35BC" w:rsidP="00CE35BC">
    <w:pPr>
      <w:pStyle w:val="Footer"/>
    </w:pPr>
  </w:p>
  <w:p w:rsidR="00CE35BC" w:rsidRDefault="00CE3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BC" w:rsidRDefault="00CE35BC" w:rsidP="00CE35BC">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November 05</w:t>
    </w:r>
    <w:r>
      <w:rPr>
        <w:rFonts w:ascii="Arial" w:eastAsia="Arial" w:hAnsi="Arial" w:cs="Arial"/>
        <w:i/>
        <w:color w:val="000000"/>
        <w:sz w:val="20"/>
        <w:szCs w:val="20"/>
      </w:rPr>
      <w:t xml:space="preserve">, 2022; Revised </w:t>
    </w:r>
    <w:r>
      <w:rPr>
        <w:rFonts w:ascii="Arial" w:eastAsia="Arial" w:hAnsi="Arial" w:cs="Arial"/>
        <w:i/>
        <w:color w:val="000000"/>
        <w:sz w:val="20"/>
        <w:szCs w:val="20"/>
        <w:lang w:val="en-GB"/>
      </w:rPr>
      <w:t>November 20</w:t>
    </w:r>
    <w:r>
      <w:rPr>
        <w:rFonts w:ascii="Arial" w:eastAsia="Arial" w:hAnsi="Arial" w:cs="Arial"/>
        <w:i/>
        <w:color w:val="000000"/>
        <w:sz w:val="20"/>
        <w:szCs w:val="20"/>
      </w:rPr>
      <w:t xml:space="preserve">, 2022; </w:t>
    </w:r>
    <w:r>
      <w:rPr>
        <w:rFonts w:ascii="Arial" w:eastAsia="Arial" w:hAnsi="Arial" w:cs="Arial"/>
        <w:i/>
        <w:color w:val="000000"/>
        <w:sz w:val="20"/>
        <w:szCs w:val="20"/>
        <w:lang w:val="en-GB"/>
      </w:rPr>
      <w:t>Desember 13</w:t>
    </w:r>
    <w:r>
      <w:rPr>
        <w:rFonts w:ascii="Arial" w:eastAsia="Arial" w:hAnsi="Arial" w:cs="Arial"/>
        <w:i/>
        <w:color w:val="000000"/>
        <w:sz w:val="20"/>
        <w:szCs w:val="20"/>
      </w:rPr>
      <w:t>, 2022</w:t>
    </w:r>
  </w:p>
  <w:p w:rsidR="00CE35BC" w:rsidRPr="00A7477F" w:rsidRDefault="00CE35BC" w:rsidP="00CE35B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sidRPr="00A7477F">
      <w:t xml:space="preserve"> </w:t>
    </w:r>
    <w:r w:rsidRPr="00CE35BC">
      <w:rPr>
        <w:rFonts w:ascii="Libre Baskerville" w:eastAsia="Libre Baskerville" w:hAnsi="Libre Baskerville" w:cs="Libre Baskerville"/>
        <w:color w:val="000000"/>
        <w:sz w:val="20"/>
        <w:szCs w:val="20"/>
      </w:rPr>
      <w:t>Renata Maulita Wijaya</w:t>
    </w:r>
    <w:r>
      <w:rPr>
        <w:rFonts w:ascii="Libre Baskerville" w:eastAsia="Libre Baskerville" w:hAnsi="Libre Baskerville" w:cs="Libre Baskerville"/>
        <w:color w:val="000000"/>
        <w:sz w:val="20"/>
        <w:szCs w:val="20"/>
      </w:rPr>
      <w:t xml:space="preserve">, </w:t>
    </w:r>
    <w:r w:rsidRPr="00CE35BC">
      <w:rPr>
        <w:rStyle w:val="Hyperlink"/>
        <w:rFonts w:ascii="Libre Baskerville" w:eastAsia="Libre Baskerville" w:hAnsi="Libre Baskerville" w:cs="Libre Baskerville"/>
        <w:sz w:val="20"/>
        <w:szCs w:val="20"/>
      </w:rPr>
      <w:t>renatamaulitawijaya@gmail.com</w:t>
    </w:r>
    <w:r>
      <w:rPr>
        <w:rFonts w:ascii="Libre Baskerville" w:eastAsia="Libre Baskerville" w:hAnsi="Libre Baskerville" w:cs="Libre Baskerville"/>
        <w:color w:val="000000"/>
        <w:sz w:val="20"/>
        <w:szCs w:val="20"/>
        <w:lang w:val="en-US"/>
      </w:rPr>
      <w:t xml:space="preserve"> </w:t>
    </w:r>
  </w:p>
  <w:p w:rsidR="00CE35BC" w:rsidRDefault="00CE35BC" w:rsidP="00CE35B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CE35BC" w:rsidRDefault="00CE35BC" w:rsidP="00CE35BC">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57728" behindDoc="0" locked="0" layoutInCell="1" hidden="0" allowOverlap="1" wp14:anchorId="43A7D5E9" wp14:editId="18C61501">
              <wp:simplePos x="0" y="0"/>
              <wp:positionH relativeFrom="margin">
                <wp:align>right</wp:align>
              </wp:positionH>
              <wp:positionV relativeFrom="paragraph">
                <wp:posOffset>6984</wp:posOffset>
              </wp:positionV>
              <wp:extent cx="581025" cy="201296"/>
              <wp:effectExtent l="0" t="0" r="0" b="8255"/>
              <wp:wrapNone/>
              <wp:docPr id="1" name="Rectangle 1"/>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CE35BC" w:rsidRDefault="00CE35BC" w:rsidP="00CE35BC">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A7D5E9" id="Rectangle 1" o:spid="_x0000_s1026" style="position:absolute;margin-left:-5.45pt;margin-top:.55pt;width:45.75pt;height:15.85pt;rotation:180;flip:x;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" filled="f" stroked="f">
              <v:textbox inset="2.53958mm,0,2.53958mm,0">
                <w:txbxContent>
                  <w:p w:rsidR="00CE35BC" w:rsidRDefault="00CE35BC" w:rsidP="00CE35BC">
                    <w:pPr>
                      <w:spacing w:line="275" w:lineRule="auto"/>
                      <w:jc w:val="center"/>
                      <w:textDirection w:val="btLr"/>
                    </w:pPr>
                  </w:p>
                </w:txbxContent>
              </v:textbox>
              <w10:wrap anchorx="margin"/>
            </v:rect>
          </w:pict>
        </mc:Fallback>
      </mc:AlternateContent>
    </w:r>
  </w:p>
  <w:p w:rsidR="00CE35BC" w:rsidRDefault="00CE35BC" w:rsidP="00CE35BC">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CE35BC" w:rsidRDefault="00CE35BC" w:rsidP="00CE35BC">
    <w:pPr>
      <w:tabs>
        <w:tab w:val="center" w:pos="4513"/>
        <w:tab w:val="right" w:pos="9026"/>
      </w:tabs>
      <w:spacing w:after="340" w:line="240" w:lineRule="auto"/>
      <w:rPr>
        <w:rFonts w:ascii="Libre Baskerville" w:eastAsia="Libre Baskerville" w:hAnsi="Libre Baskerville" w:cs="Libre Baskerville"/>
        <w:sz w:val="20"/>
        <w:szCs w:val="20"/>
      </w:rPr>
    </w:pPr>
  </w:p>
  <w:p w:rsidR="00CE35BC" w:rsidRDefault="00CE35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7E5B21" w:rsidP="001D044D">
    <w:pPr>
      <w:pBdr>
        <w:top w:val="single" w:sz="4" w:space="0"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56704" behindDoc="0" locked="0" layoutInCell="1" hidden="0" allowOverlap="1" wp14:anchorId="1207A0E5" wp14:editId="49B422F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207A0E5" id="Rectangle 658" o:spid="_x0000_s1027" style="position:absolute;margin-left:-5.45pt;margin-top:.55pt;width:45.75pt;height:15.85pt;rotation:180;flip:x;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" filled="f" stroked="f">
              <v:textbox inset="2.53958mm,0,2.53958mm,0">
                <w:txbxContent>
                  <w:p w:rsidR="00BB77EA" w:rsidRDefault="00BB77EA">
                    <w:pPr>
                      <w:spacing w:line="275" w:lineRule="auto"/>
                      <w:jc w:val="center"/>
                      <w:textDirection w:val="btLr"/>
                    </w:pPr>
                  </w:p>
                </w:txbxContent>
              </v:textbox>
              <w10:wrap anchorx="margin"/>
            </v:rect>
          </w:pict>
        </mc:Fallback>
      </mc:AlternateContent>
    </w:r>
  </w:p>
  <w:p w:rsidR="00BB77EA" w:rsidRDefault="00BB77EA" w:rsidP="001D044D">
    <w:pPr>
      <w:pBdr>
        <w:top w:val="single" w:sz="4" w:space="0"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191" w:rsidRDefault="00333191">
      <w:pPr>
        <w:spacing w:after="0" w:line="240" w:lineRule="auto"/>
      </w:pPr>
      <w:r>
        <w:separator/>
      </w:r>
    </w:p>
  </w:footnote>
  <w:footnote w:type="continuationSeparator" w:id="0">
    <w:p w:rsidR="00333191" w:rsidRDefault="003331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BC" w:rsidRDefault="00CE35BC" w:rsidP="00CE35BC">
    <w:pPr>
      <w:pStyle w:val="Header"/>
      <w:jc w:val="right"/>
      <w:rPr>
        <w:rFonts w:ascii="Arial" w:eastAsia="Arial" w:hAnsi="Arial" w:cs="Arial"/>
        <w:i/>
        <w:color w:val="000000"/>
        <w:sz w:val="18"/>
        <w:szCs w:val="18"/>
      </w:rPr>
    </w:pPr>
  </w:p>
  <w:p w:rsidR="00CE35BC" w:rsidRDefault="00CE35BC" w:rsidP="00CE35BC">
    <w:pPr>
      <w:pStyle w:val="Header"/>
      <w:jc w:val="right"/>
      <w:rPr>
        <w:rFonts w:ascii="Arial" w:eastAsia="Arial" w:hAnsi="Arial" w:cs="Arial"/>
        <w:i/>
        <w:color w:val="000000"/>
        <w:sz w:val="18"/>
        <w:szCs w:val="18"/>
      </w:rPr>
    </w:pPr>
  </w:p>
  <w:p w:rsidR="00CE35BC" w:rsidRDefault="00CE35BC" w:rsidP="00CE35BC">
    <w:pPr>
      <w:pStyle w:val="Header"/>
      <w:jc w:val="right"/>
      <w:rPr>
        <w:rFonts w:ascii="Arial" w:eastAsia="Arial" w:hAnsi="Arial" w:cs="Arial"/>
        <w:i/>
        <w:color w:val="000000"/>
        <w:sz w:val="18"/>
        <w:szCs w:val="18"/>
      </w:rPr>
    </w:pPr>
  </w:p>
  <w:p w:rsidR="00CE35BC" w:rsidRDefault="00CE35BC" w:rsidP="00CE35BC">
    <w:pPr>
      <w:pStyle w:val="Header"/>
      <w:jc w:val="right"/>
      <w:rPr>
        <w:rFonts w:ascii="Arial" w:eastAsia="Arial" w:hAnsi="Arial" w:cs="Arial"/>
        <w:i/>
        <w:color w:val="000000"/>
        <w:sz w:val="18"/>
        <w:szCs w:val="18"/>
      </w:rPr>
    </w:pPr>
  </w:p>
  <w:p w:rsidR="00CE35BC" w:rsidRDefault="00CE35BC" w:rsidP="00CE35BC">
    <w:pPr>
      <w:pStyle w:val="Header"/>
      <w:jc w:val="right"/>
      <w:rPr>
        <w:rFonts w:ascii="Arial" w:eastAsia="Arial" w:hAnsi="Arial" w:cs="Arial"/>
        <w:i/>
        <w:color w:val="000000"/>
        <w:sz w:val="18"/>
        <w:szCs w:val="18"/>
      </w:rPr>
    </w:pPr>
  </w:p>
  <w:p w:rsidR="00CE35BC" w:rsidRPr="00CE35BC" w:rsidRDefault="00CE35BC" w:rsidP="00CE35BC">
    <w:pPr>
      <w:pStyle w:val="Header"/>
      <w:jc w:val="right"/>
    </w:pPr>
    <w:r w:rsidRPr="00CE35BC">
      <w:rPr>
        <w:rFonts w:ascii="Arial" w:eastAsia="Arial" w:hAnsi="Arial" w:cs="Arial"/>
        <w:i/>
        <w:color w:val="000000"/>
        <w:sz w:val="18"/>
        <w:szCs w:val="18"/>
      </w:rPr>
      <w:t>ANALISIS PERBANDINGAN KINERJA KEUANGAN PADA PERUSAHAAN FARMASI TAHUN 2019-2021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BC" w:rsidRDefault="00CE35BC" w:rsidP="00CE35BC">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CE35BC" w:rsidRDefault="00CE35BC" w:rsidP="00CE35BC">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CE35BC" w:rsidRDefault="00CE35BC" w:rsidP="00CE35BC">
    <w:pPr>
      <w:tabs>
        <w:tab w:val="center" w:pos="4680"/>
        <w:tab w:val="right" w:pos="9360"/>
      </w:tabs>
      <w:spacing w:after="0" w:line="240" w:lineRule="auto"/>
      <w:rPr>
        <w:rFonts w:ascii="Cambria" w:eastAsia="Cambria" w:hAnsi="Cambria" w:cs="Cambria"/>
        <w:b/>
      </w:rPr>
    </w:pPr>
    <w:r w:rsidRPr="00315565">
      <w:rPr>
        <w:rFonts w:ascii="Cambria" w:eastAsia="Cambria" w:hAnsi="Cambria" w:cs="Cambria"/>
        <w:b/>
      </w:rPr>
      <w:t>GEMILANG: Jurnal Manajemen dan Akuntansi</w:t>
    </w:r>
  </w:p>
  <w:p w:rsidR="00CE35BC" w:rsidRPr="006B42D6" w:rsidRDefault="00CE35BC" w:rsidP="00CE35BC">
    <w:pPr>
      <w:tabs>
        <w:tab w:val="center" w:pos="4680"/>
        <w:tab w:val="right" w:pos="9360"/>
      </w:tabs>
      <w:spacing w:after="0" w:line="240" w:lineRule="auto"/>
      <w:rPr>
        <w:rFonts w:ascii="Cambria" w:eastAsia="Cambria" w:hAnsi="Cambria" w:cs="Cambria"/>
        <w:b/>
        <w:lang w:val="en-US"/>
      </w:rPr>
    </w:pPr>
    <w:r>
      <w:rPr>
        <w:rFonts w:ascii="Cambria" w:eastAsia="Cambria" w:hAnsi="Cambria" w:cs="Cambria"/>
        <w:b/>
      </w:rPr>
      <w:t>Vol.</w:t>
    </w:r>
    <w:r>
      <w:rPr>
        <w:rFonts w:ascii="Cambria" w:eastAsia="Cambria" w:hAnsi="Cambria" w:cs="Cambria"/>
        <w:b/>
        <w:lang w:val="en-US"/>
      </w:rPr>
      <w:t>3</w:t>
    </w:r>
    <w:r>
      <w:rPr>
        <w:rFonts w:ascii="Cambria" w:eastAsia="Cambria" w:hAnsi="Cambria" w:cs="Cambria"/>
        <w:b/>
      </w:rPr>
      <w:t>, No.</w:t>
    </w:r>
    <w:r>
      <w:rPr>
        <w:rFonts w:ascii="Cambria" w:eastAsia="Cambria" w:hAnsi="Cambria" w:cs="Cambria"/>
        <w:b/>
        <w:lang w:val="en-US"/>
      </w:rPr>
      <w:t>1 Januari 2023</w:t>
    </w:r>
  </w:p>
  <w:p w:rsidR="00CE35BC" w:rsidRPr="00A7477F" w:rsidRDefault="00CE35BC" w:rsidP="00CE35BC">
    <w:pPr>
      <w:tabs>
        <w:tab w:val="center" w:pos="4680"/>
        <w:tab w:val="right" w:pos="9360"/>
      </w:tabs>
      <w:spacing w:after="0" w:line="240" w:lineRule="auto"/>
      <w:rPr>
        <w:lang w:val="en-US"/>
      </w:rPr>
    </w:pPr>
    <w:r>
      <w:rPr>
        <w:rFonts w:ascii="Cambria" w:eastAsia="Cambria" w:hAnsi="Cambria" w:cs="Cambria"/>
      </w:rPr>
      <w:t xml:space="preserve">e-ISSN: </w:t>
    </w:r>
    <w:r w:rsidRPr="00B4618C">
      <w:rPr>
        <w:rFonts w:ascii="Cambria" w:eastAsia="Cambria" w:hAnsi="Cambria" w:cs="Cambria"/>
      </w:rPr>
      <w:t>2962-3987</w:t>
    </w:r>
    <w:r>
      <w:rPr>
        <w:rFonts w:ascii="Cambria" w:eastAsia="Cambria" w:hAnsi="Cambria" w:cs="Cambria"/>
      </w:rPr>
      <w:t xml:space="preserve">; p-ISSN: </w:t>
    </w:r>
    <w:r w:rsidRPr="00B4618C">
      <w:rPr>
        <w:rFonts w:ascii="Cambria" w:eastAsia="Cambria" w:hAnsi="Cambria" w:cs="Cambria"/>
      </w:rPr>
      <w:t>2962-4428</w:t>
    </w:r>
    <w:r>
      <w:rPr>
        <w:rFonts w:ascii="Cambria" w:eastAsia="Cambria" w:hAnsi="Cambria" w:cs="Cambria"/>
      </w:rPr>
      <w:t xml:space="preserve">, Hal </w:t>
    </w:r>
    <w:r>
      <w:rPr>
        <w:rFonts w:ascii="Cambria" w:eastAsia="Cambria" w:hAnsi="Cambria" w:cs="Cambria"/>
        <w:lang w:val="en-US"/>
      </w:rPr>
      <w:t>33-47</w:t>
    </w:r>
  </w:p>
  <w:p w:rsidR="00CE35BC" w:rsidRDefault="00CE3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BC" w:rsidRDefault="00CE35BC" w:rsidP="00CE35BC">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CE35BC" w:rsidRDefault="00CE35BC" w:rsidP="00CE35BC">
    <w:pPr>
      <w:tabs>
        <w:tab w:val="center" w:pos="4680"/>
        <w:tab w:val="right" w:pos="9360"/>
      </w:tabs>
      <w:spacing w:after="0" w:line="240" w:lineRule="auto"/>
      <w:jc w:val="right"/>
      <w:rPr>
        <w:rFonts w:ascii="Cambria" w:eastAsia="Cambria" w:hAnsi="Cambria" w:cs="Cambria"/>
        <w:b/>
      </w:rPr>
    </w:pPr>
  </w:p>
  <w:p w:rsidR="00CE35BC" w:rsidRDefault="00CE35BC" w:rsidP="00CE35BC">
    <w:pPr>
      <w:tabs>
        <w:tab w:val="center" w:pos="4680"/>
        <w:tab w:val="right" w:pos="9360"/>
      </w:tabs>
      <w:spacing w:after="0" w:line="240" w:lineRule="auto"/>
      <w:jc w:val="right"/>
      <w:rPr>
        <w:rFonts w:ascii="Cambria" w:eastAsia="Cambria" w:hAnsi="Cambria" w:cs="Cambria"/>
        <w:b/>
      </w:rPr>
    </w:pPr>
    <w:r w:rsidRPr="00315565">
      <w:rPr>
        <w:rFonts w:ascii="Cambria" w:eastAsia="Cambria" w:hAnsi="Cambria" w:cs="Cambria"/>
        <w:b/>
      </w:rPr>
      <w:t>GEMILANG: Jurnal Manajemen dan Akuntansi</w:t>
    </w:r>
  </w:p>
  <w:p w:rsidR="00CE35BC" w:rsidRPr="00565CFF" w:rsidRDefault="00CE35BC" w:rsidP="00CE35BC">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Pr>
        <w:rFonts w:ascii="Cambria" w:eastAsia="Cambria" w:hAnsi="Cambria" w:cs="Cambria"/>
        <w:b/>
        <w:lang w:val="en-US"/>
      </w:rPr>
      <w:t>3</w:t>
    </w:r>
    <w:r>
      <w:rPr>
        <w:rFonts w:ascii="Cambria" w:eastAsia="Cambria" w:hAnsi="Cambria" w:cs="Cambria"/>
        <w:b/>
      </w:rPr>
      <w:t>, No.</w:t>
    </w:r>
    <w:r>
      <w:rPr>
        <w:rFonts w:ascii="Cambria" w:eastAsia="Cambria" w:hAnsi="Cambria" w:cs="Cambria"/>
        <w:b/>
        <w:lang w:val="en-US"/>
      </w:rPr>
      <w:t>1 Januari 2023</w:t>
    </w:r>
  </w:p>
  <w:p w:rsidR="00CE35BC" w:rsidRPr="00A7477F" w:rsidRDefault="00CE35BC" w:rsidP="00CE35BC">
    <w:pPr>
      <w:tabs>
        <w:tab w:val="center" w:pos="4680"/>
        <w:tab w:val="right" w:pos="9360"/>
      </w:tabs>
      <w:spacing w:after="0" w:line="240" w:lineRule="auto"/>
      <w:jc w:val="right"/>
      <w:rPr>
        <w:lang w:val="en-US"/>
      </w:rPr>
    </w:pPr>
    <w:r>
      <w:rPr>
        <w:rFonts w:ascii="Cambria" w:eastAsia="Cambria" w:hAnsi="Cambria" w:cs="Cambria"/>
      </w:rPr>
      <w:t xml:space="preserve">e-ISSN: </w:t>
    </w:r>
    <w:r w:rsidRPr="00B4618C">
      <w:rPr>
        <w:rFonts w:ascii="Cambria" w:eastAsia="Cambria" w:hAnsi="Cambria" w:cs="Cambria"/>
      </w:rPr>
      <w:t>2962-3987</w:t>
    </w:r>
    <w:r>
      <w:rPr>
        <w:rFonts w:ascii="Cambria" w:eastAsia="Cambria" w:hAnsi="Cambria" w:cs="Cambria"/>
      </w:rPr>
      <w:t xml:space="preserve">; p-ISSN: </w:t>
    </w:r>
    <w:r w:rsidRPr="00B4618C">
      <w:rPr>
        <w:rFonts w:ascii="Cambria" w:eastAsia="Cambria" w:hAnsi="Cambria" w:cs="Cambria"/>
      </w:rPr>
      <w:t>2962-4428</w:t>
    </w:r>
    <w:r>
      <w:rPr>
        <w:rFonts w:ascii="Cambria" w:eastAsia="Cambria" w:hAnsi="Cambria" w:cs="Cambria"/>
      </w:rPr>
      <w:t xml:space="preserve">, Hal </w:t>
    </w:r>
    <w:r>
      <w:rPr>
        <w:rFonts w:ascii="Cambria" w:eastAsia="Cambria" w:hAnsi="Cambria" w:cs="Cambria"/>
        <w:lang w:val="en-US"/>
      </w:rPr>
      <w:t>33-47</w:t>
    </w:r>
  </w:p>
  <w:p w:rsidR="00CE35BC" w:rsidRDefault="00CE35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A34782" w:rsidRDefault="00390012" w:rsidP="00A3478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p>
  <w:p w:rsidR="00BB77EA" w:rsidRDefault="00BB77EA"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390012">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8D316D" w:rsidRPr="008D316D" w:rsidRDefault="008D316D" w:rsidP="008D316D">
    <w:pPr>
      <w:widowControl w:val="0"/>
      <w:pBdr>
        <w:top w:val="nil"/>
        <w:left w:val="nil"/>
        <w:bottom w:val="nil"/>
        <w:right w:val="nil"/>
        <w:between w:val="nil"/>
      </w:pBdr>
      <w:tabs>
        <w:tab w:val="center" w:pos="4680"/>
        <w:tab w:val="right" w:pos="9360"/>
      </w:tabs>
      <w:spacing w:after="0" w:line="240" w:lineRule="auto"/>
      <w:rPr>
        <w:rFonts w:ascii="Quintessential" w:eastAsia="Quintessential" w:hAnsi="Quintessential" w:cs="Quintessential"/>
        <w:b/>
        <w:color w:val="000000"/>
        <w:sz w:val="24"/>
        <w:szCs w:val="24"/>
        <w:lang w:val="en-US" w:eastAsia="id-ID"/>
      </w:rPr>
    </w:pPr>
    <w:r w:rsidRPr="008D316D">
      <w:rPr>
        <w:rFonts w:ascii="Quintessential" w:eastAsia="Quintessential" w:hAnsi="Quintessential" w:cs="Quintessential"/>
        <w:b/>
        <w:color w:val="000000"/>
        <w:sz w:val="24"/>
        <w:szCs w:val="24"/>
        <w:lang w:val="en-US" w:eastAsia="id-ID"/>
      </w:rPr>
      <w:tab/>
    </w:r>
  </w:p>
  <w:p w:rsidR="00BB77EA" w:rsidRDefault="00BB77EA">
    <w:pPr>
      <w:tabs>
        <w:tab w:val="center" w:pos="4680"/>
        <w:tab w:val="right" w:pos="9360"/>
      </w:tabs>
      <w:spacing w:after="0" w:line="240" w:lineRule="auto"/>
      <w:jc w:val="right"/>
      <w:rPr>
        <w:rFonts w:ascii="Cambria" w:eastAsia="Cambria" w:hAnsi="Cambria" w:cs="Cambria"/>
        <w:b/>
        <w:color w:val="000000"/>
        <w:sz w:val="24"/>
        <w:szCs w:val="24"/>
        <w:lang w:val="en-US" w:eastAsia="id-ID"/>
      </w:rPr>
    </w:pPr>
  </w:p>
  <w:p w:rsidR="003007AB" w:rsidRDefault="003007AB">
    <w:pPr>
      <w:tabs>
        <w:tab w:val="center" w:pos="4680"/>
        <w:tab w:val="right" w:pos="9360"/>
      </w:tabs>
      <w:spacing w:after="0" w:line="240" w:lineRule="auto"/>
      <w:jc w:val="right"/>
      <w:rPr>
        <w:rFonts w:ascii="Cambria" w:eastAsia="Cambria" w:hAnsi="Cambria" w:cs="Cambria"/>
        <w:b/>
        <w:color w:val="000000"/>
        <w:sz w:val="24"/>
        <w:szCs w:val="24"/>
        <w:lang w:val="en-US" w:eastAsia="id-ID"/>
      </w:rPr>
    </w:pPr>
  </w:p>
  <w:p w:rsidR="003007AB" w:rsidRDefault="003007AB">
    <w:pPr>
      <w:tabs>
        <w:tab w:val="center" w:pos="4680"/>
        <w:tab w:val="right" w:pos="9360"/>
      </w:tabs>
      <w:spacing w:after="0" w:line="240" w:lineRule="auto"/>
      <w:jc w:val="right"/>
      <w:rPr>
        <w:rFonts w:ascii="Cambria" w:eastAsia="Cambria" w:hAnsi="Cambria" w:cs="Cambria"/>
        <w:b/>
        <w:color w:val="000000"/>
        <w:sz w:val="24"/>
        <w:szCs w:val="24"/>
        <w:lang w:val="en-US" w:eastAsia="id-ID"/>
      </w:rPr>
    </w:pPr>
  </w:p>
  <w:p w:rsidR="003007AB" w:rsidRDefault="003007AB">
    <w:pPr>
      <w:tabs>
        <w:tab w:val="center" w:pos="4680"/>
        <w:tab w:val="right" w:pos="9360"/>
      </w:tabs>
      <w:spacing w:after="0" w:line="240" w:lineRule="auto"/>
      <w:jc w:val="right"/>
      <w:rPr>
        <w:rFonts w:ascii="Cambria" w:eastAsia="Cambria" w:hAnsi="Cambria" w:cs="Cambr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2A8FC5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000007"/>
    <w:multiLevelType w:val="hybridMultilevel"/>
    <w:tmpl w:val="54B294E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000000B"/>
    <w:multiLevelType w:val="multilevel"/>
    <w:tmpl w:val="9E968A42"/>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F"/>
    <w:multiLevelType w:val="hybridMultilevel"/>
    <w:tmpl w:val="ADCE47B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00000011"/>
    <w:multiLevelType w:val="hybridMultilevel"/>
    <w:tmpl w:val="8234621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00000018"/>
    <w:multiLevelType w:val="hybridMultilevel"/>
    <w:tmpl w:val="6DE44F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E6153E"/>
    <w:multiLevelType w:val="hybridMultilevel"/>
    <w:tmpl w:val="E63C08FE"/>
    <w:lvl w:ilvl="0" w:tplc="04210017">
      <w:start w:val="1"/>
      <w:numFmt w:val="lowerLetter"/>
      <w:lvlText w:val="%1)"/>
      <w:lvlJc w:val="left"/>
      <w:pPr>
        <w:ind w:left="2226" w:hanging="360"/>
      </w:pPr>
    </w:lvl>
    <w:lvl w:ilvl="1" w:tplc="04210019">
      <w:start w:val="1"/>
      <w:numFmt w:val="lowerLetter"/>
      <w:lvlText w:val="%2."/>
      <w:lvlJc w:val="left"/>
      <w:pPr>
        <w:ind w:left="2946" w:hanging="360"/>
      </w:pPr>
    </w:lvl>
    <w:lvl w:ilvl="2" w:tplc="6A549EB6">
      <w:start w:val="1"/>
      <w:numFmt w:val="decimal"/>
      <w:lvlText w:val="%3)"/>
      <w:lvlJc w:val="left"/>
      <w:pPr>
        <w:ind w:left="3846" w:hanging="360"/>
      </w:pPr>
      <w:rPr>
        <w:rFonts w:hint="default"/>
      </w:rPr>
    </w:lvl>
    <w:lvl w:ilvl="3" w:tplc="5AD2B164">
      <w:start w:val="1"/>
      <w:numFmt w:val="decimal"/>
      <w:lvlText w:val="%4."/>
      <w:lvlJc w:val="left"/>
      <w:pPr>
        <w:ind w:left="4386" w:hanging="360"/>
      </w:pPr>
      <w:rPr>
        <w:rFonts w:hint="default"/>
      </w:r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7" w15:restartNumberingAfterBreak="0">
    <w:nsid w:val="0FAF6726"/>
    <w:multiLevelType w:val="hybridMultilevel"/>
    <w:tmpl w:val="BE1E09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3F6D8F"/>
    <w:multiLevelType w:val="hybridMultilevel"/>
    <w:tmpl w:val="CC5C819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0" w15:restartNumberingAfterBreak="0">
    <w:nsid w:val="186F059F"/>
    <w:multiLevelType w:val="hybridMultilevel"/>
    <w:tmpl w:val="187A77E8"/>
    <w:lvl w:ilvl="0" w:tplc="56BE089E">
      <w:start w:val="1"/>
      <w:numFmt w:val="decimal"/>
      <w:lvlText w:val="%1)"/>
      <w:lvlJc w:val="left"/>
      <w:pPr>
        <w:ind w:left="1080" w:hanging="360"/>
      </w:pPr>
      <w:rPr>
        <w:rFonts w:eastAsia="Calibri"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8856E1D"/>
    <w:multiLevelType w:val="hybridMultilevel"/>
    <w:tmpl w:val="57EA3C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353323"/>
    <w:multiLevelType w:val="hybridMultilevel"/>
    <w:tmpl w:val="FB5EFD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4" w15:restartNumberingAfterBreak="0">
    <w:nsid w:val="3BE61BB2"/>
    <w:multiLevelType w:val="hybridMultilevel"/>
    <w:tmpl w:val="5AA6044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3EB202B6"/>
    <w:multiLevelType w:val="hybridMultilevel"/>
    <w:tmpl w:val="705AADE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094A06"/>
    <w:multiLevelType w:val="hybridMultilevel"/>
    <w:tmpl w:val="26560B80"/>
    <w:lvl w:ilvl="0" w:tplc="0421000F">
      <w:start w:val="1"/>
      <w:numFmt w:val="decimal"/>
      <w:lvlText w:val="%1."/>
      <w:lvlJc w:val="left"/>
      <w:pPr>
        <w:ind w:left="1080" w:hanging="360"/>
      </w:p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5A85EBC"/>
    <w:multiLevelType w:val="hybridMultilevel"/>
    <w:tmpl w:val="F8AEF18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99F615B"/>
    <w:multiLevelType w:val="hybridMultilevel"/>
    <w:tmpl w:val="301057F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E23FD8"/>
    <w:multiLevelType w:val="hybridMultilevel"/>
    <w:tmpl w:val="EBCA66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DFE66F1"/>
    <w:multiLevelType w:val="hybridMultilevel"/>
    <w:tmpl w:val="D5883E24"/>
    <w:lvl w:ilvl="0" w:tplc="57FCC2FC">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2" w15:restartNumberingAfterBreak="0">
    <w:nsid w:val="7585473D"/>
    <w:multiLevelType w:val="hybridMultilevel"/>
    <w:tmpl w:val="5C746822"/>
    <w:lvl w:ilvl="0" w:tplc="EE90B4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3"/>
  </w:num>
  <w:num w:numId="3">
    <w:abstractNumId w:val="23"/>
  </w:num>
  <w:num w:numId="4">
    <w:abstractNumId w:val="9"/>
  </w:num>
  <w:num w:numId="5">
    <w:abstractNumId w:val="11"/>
  </w:num>
  <w:num w:numId="6">
    <w:abstractNumId w:val="2"/>
  </w:num>
  <w:num w:numId="7">
    <w:abstractNumId w:val="5"/>
  </w:num>
  <w:num w:numId="8">
    <w:abstractNumId w:val="6"/>
  </w:num>
  <w:num w:numId="9">
    <w:abstractNumId w:val="8"/>
  </w:num>
  <w:num w:numId="10">
    <w:abstractNumId w:val="17"/>
  </w:num>
  <w:num w:numId="11">
    <w:abstractNumId w:val="19"/>
  </w:num>
  <w:num w:numId="12">
    <w:abstractNumId w:val="0"/>
  </w:num>
  <w:num w:numId="13">
    <w:abstractNumId w:val="4"/>
  </w:num>
  <w:num w:numId="14">
    <w:abstractNumId w:val="1"/>
  </w:num>
  <w:num w:numId="15">
    <w:abstractNumId w:val="3"/>
  </w:num>
  <w:num w:numId="16">
    <w:abstractNumId w:val="14"/>
  </w:num>
  <w:num w:numId="17">
    <w:abstractNumId w:val="20"/>
  </w:num>
  <w:num w:numId="18">
    <w:abstractNumId w:val="12"/>
  </w:num>
  <w:num w:numId="19">
    <w:abstractNumId w:val="18"/>
  </w:num>
  <w:num w:numId="20">
    <w:abstractNumId w:val="15"/>
  </w:num>
  <w:num w:numId="21">
    <w:abstractNumId w:val="22"/>
  </w:num>
  <w:num w:numId="22">
    <w:abstractNumId w:val="21"/>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44535"/>
    <w:rsid w:val="000619B9"/>
    <w:rsid w:val="000C7684"/>
    <w:rsid w:val="00160765"/>
    <w:rsid w:val="001A48F8"/>
    <w:rsid w:val="001B3132"/>
    <w:rsid w:val="001D044D"/>
    <w:rsid w:val="001E2FD5"/>
    <w:rsid w:val="00241A9D"/>
    <w:rsid w:val="002B2806"/>
    <w:rsid w:val="002B3BC4"/>
    <w:rsid w:val="002D7E7A"/>
    <w:rsid w:val="003007AB"/>
    <w:rsid w:val="00333191"/>
    <w:rsid w:val="00390012"/>
    <w:rsid w:val="003D0CA7"/>
    <w:rsid w:val="003D7073"/>
    <w:rsid w:val="003E5454"/>
    <w:rsid w:val="00465ECD"/>
    <w:rsid w:val="004B1110"/>
    <w:rsid w:val="004F56F6"/>
    <w:rsid w:val="005A16C7"/>
    <w:rsid w:val="00634260"/>
    <w:rsid w:val="006366A3"/>
    <w:rsid w:val="007E5B21"/>
    <w:rsid w:val="008D0CD5"/>
    <w:rsid w:val="008D316D"/>
    <w:rsid w:val="00A0352A"/>
    <w:rsid w:val="00A244EC"/>
    <w:rsid w:val="00A30E0B"/>
    <w:rsid w:val="00A33638"/>
    <w:rsid w:val="00A34782"/>
    <w:rsid w:val="00A36CAF"/>
    <w:rsid w:val="00B73A1D"/>
    <w:rsid w:val="00BB77EA"/>
    <w:rsid w:val="00BE6227"/>
    <w:rsid w:val="00CE35BC"/>
    <w:rsid w:val="00D15A45"/>
    <w:rsid w:val="00E57B90"/>
    <w:rsid w:val="00F06A4D"/>
    <w:rsid w:val="00F4399A"/>
    <w:rsid w:val="00F60B7C"/>
    <w:rsid w:val="00F8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A5819-0697-48AF-9157-73738F30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markedcontent">
    <w:name w:val="markedcontent"/>
    <w:basedOn w:val="DefaultParagraphFont"/>
    <w:rsid w:val="002D7E7A"/>
  </w:style>
  <w:style w:type="table" w:styleId="TableGrid">
    <w:name w:val="Table Grid"/>
    <w:basedOn w:val="TableNormal"/>
    <w:uiPriority w:val="59"/>
    <w:rsid w:val="00241A9D"/>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rsid w:val="00241A9D"/>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yfa.co.id" TargetMode="External"/><Relationship Id="rId17" Type="http://schemas.openxmlformats.org/officeDocument/2006/relationships/footer" Target="footer2.xml"/><Relationship Id="rId25" Type="http://schemas.openxmlformats.org/officeDocument/2006/relationships/chart" Target="charts/chart8.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ckgroup.com" TargetMode="External"/><Relationship Id="rId24" Type="http://schemas.openxmlformats.org/officeDocument/2006/relationships/chart" Target="charts/chart7.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hyperlink" Target="http://www.sidomuncul.co.id" TargetMode="Externa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yperlink" Target="http://www.phapros.co.id" TargetMode="External"/><Relationship Id="rId14" Type="http://schemas.openxmlformats.org/officeDocument/2006/relationships/header" Target="head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 Id="rId8" Type="http://schemas.openxmlformats.org/officeDocument/2006/relationships/hyperlink" Target="mailto:renatamaulitawijaya@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General</c:formatCode>
                <c:ptCount val="4"/>
                <c:pt idx="0">
                  <c:v>1.01</c:v>
                </c:pt>
                <c:pt idx="1">
                  <c:v>0.94</c:v>
                </c:pt>
                <c:pt idx="2">
                  <c:v>1.3</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General</c:formatCode>
                <c:ptCount val="4"/>
                <c:pt idx="0">
                  <c:v>4.2</c:v>
                </c:pt>
                <c:pt idx="1">
                  <c:v>3.66</c:v>
                </c:pt>
                <c:pt idx="2">
                  <c:v>4.13</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General</c:formatCode>
                <c:ptCount val="4"/>
                <c:pt idx="0">
                  <c:v>2.5</c:v>
                </c:pt>
                <c:pt idx="1">
                  <c:v>2.54</c:v>
                </c:pt>
                <c:pt idx="2">
                  <c:v>2.71</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General</c:formatCode>
                <c:ptCount val="4"/>
                <c:pt idx="0">
                  <c:v>3.52</c:v>
                </c:pt>
                <c:pt idx="1">
                  <c:v>2.89</c:v>
                </c:pt>
                <c:pt idx="2">
                  <c:v>1.29</c:v>
                </c:pt>
              </c:numCache>
            </c:numRef>
          </c:val>
          <c:smooth val="0"/>
        </c:ser>
        <c:dLbls>
          <c:showLegendKey val="0"/>
          <c:showVal val="1"/>
          <c:showCatName val="0"/>
          <c:showSerName val="0"/>
          <c:showPercent val="0"/>
          <c:showBubbleSize val="0"/>
        </c:dLbls>
        <c:smooth val="0"/>
        <c:axId val="-1631409920"/>
        <c:axId val="-1631409376"/>
      </c:lineChart>
      <c:catAx>
        <c:axId val="-1631409920"/>
        <c:scaling>
          <c:orientation val="minMax"/>
        </c:scaling>
        <c:delete val="0"/>
        <c:axPos val="b"/>
        <c:numFmt formatCode="General" sourceLinked="1"/>
        <c:majorTickMark val="out"/>
        <c:minorTickMark val="none"/>
        <c:tickLblPos val="nextTo"/>
        <c:txPr>
          <a:bodyPr/>
          <a:lstStyle/>
          <a:p>
            <a:pPr>
              <a:defRPr lang="id-ID"/>
            </a:pPr>
            <a:endParaRPr lang="en-US"/>
          </a:p>
        </c:txPr>
        <c:crossAx val="-1631409376"/>
        <c:crosses val="autoZero"/>
        <c:auto val="1"/>
        <c:lblAlgn val="ctr"/>
        <c:lblOffset val="100"/>
        <c:noMultiLvlLbl val="0"/>
      </c:catAx>
      <c:valAx>
        <c:axId val="-163140937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63140992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0%</c:formatCode>
                <c:ptCount val="4"/>
                <c:pt idx="0">
                  <c:v>9.0000000000000024E-2</c:v>
                </c:pt>
                <c:pt idx="1">
                  <c:v>0.05</c:v>
                </c:pt>
                <c:pt idx="2">
                  <c:v>1.0000000000000005E-2</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0%</c:formatCode>
                <c:ptCount val="4"/>
                <c:pt idx="0">
                  <c:v>0.26</c:v>
                </c:pt>
                <c:pt idx="1">
                  <c:v>0.28000000000000008</c:v>
                </c:pt>
                <c:pt idx="2">
                  <c:v>0.31000000000000022</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0%</c:formatCode>
                <c:ptCount val="4"/>
                <c:pt idx="0">
                  <c:v>0.1</c:v>
                </c:pt>
                <c:pt idx="1">
                  <c:v>0.11</c:v>
                </c:pt>
                <c:pt idx="2">
                  <c:v>0.12000000000000002</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0%</c:formatCode>
                <c:ptCount val="4"/>
                <c:pt idx="0">
                  <c:v>3.0000000000000002E-2</c:v>
                </c:pt>
                <c:pt idx="1">
                  <c:v>0.12000000000000002</c:v>
                </c:pt>
                <c:pt idx="2">
                  <c:v>1.0000000000000005E-2</c:v>
                </c:pt>
              </c:numCache>
            </c:numRef>
          </c:val>
          <c:smooth val="0"/>
        </c:ser>
        <c:dLbls>
          <c:showLegendKey val="0"/>
          <c:showVal val="1"/>
          <c:showCatName val="0"/>
          <c:showSerName val="0"/>
          <c:showPercent val="0"/>
          <c:showBubbleSize val="0"/>
        </c:dLbls>
        <c:smooth val="0"/>
        <c:axId val="-1629911968"/>
        <c:axId val="-1629902720"/>
      </c:lineChart>
      <c:catAx>
        <c:axId val="-1629911968"/>
        <c:scaling>
          <c:orientation val="minMax"/>
        </c:scaling>
        <c:delete val="0"/>
        <c:axPos val="b"/>
        <c:numFmt formatCode="General" sourceLinked="1"/>
        <c:majorTickMark val="out"/>
        <c:minorTickMark val="none"/>
        <c:tickLblPos val="nextTo"/>
        <c:txPr>
          <a:bodyPr/>
          <a:lstStyle/>
          <a:p>
            <a:pPr>
              <a:defRPr lang="id-ID"/>
            </a:pPr>
            <a:endParaRPr lang="en-US"/>
          </a:p>
        </c:txPr>
        <c:crossAx val="-1629902720"/>
        <c:crosses val="autoZero"/>
        <c:auto val="1"/>
        <c:lblAlgn val="ctr"/>
        <c:lblOffset val="100"/>
        <c:noMultiLvlLbl val="0"/>
      </c:catAx>
      <c:valAx>
        <c:axId val="-1629902720"/>
        <c:scaling>
          <c:orientation val="minMax"/>
          <c:max val="0.33000000000000063"/>
        </c:scaling>
        <c:delete val="0"/>
        <c:axPos val="l"/>
        <c:majorGridlines/>
        <c:numFmt formatCode="0%" sourceLinked="1"/>
        <c:majorTickMark val="out"/>
        <c:minorTickMark val="none"/>
        <c:tickLblPos val="nextTo"/>
        <c:txPr>
          <a:bodyPr/>
          <a:lstStyle/>
          <a:p>
            <a:pPr>
              <a:defRPr lang="id-ID"/>
            </a:pPr>
            <a:endParaRPr lang="en-US"/>
          </a:p>
        </c:txPr>
        <c:crossAx val="-1629911968"/>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0%</c:formatCode>
                <c:ptCount val="4"/>
                <c:pt idx="0">
                  <c:v>0.05</c:v>
                </c:pt>
                <c:pt idx="1">
                  <c:v>3.0000000000000002E-2</c:v>
                </c:pt>
                <c:pt idx="2">
                  <c:v>1.0000000000000005E-2</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0%</c:formatCode>
                <c:ptCount val="4"/>
                <c:pt idx="0">
                  <c:v>0.31000000000000022</c:v>
                </c:pt>
                <c:pt idx="1">
                  <c:v>0.2400000000000001</c:v>
                </c:pt>
                <c:pt idx="2">
                  <c:v>0.23</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0%</c:formatCode>
                <c:ptCount val="4"/>
                <c:pt idx="0">
                  <c:v>9.0000000000000024E-2</c:v>
                </c:pt>
                <c:pt idx="1">
                  <c:v>8.0000000000000043E-2</c:v>
                </c:pt>
                <c:pt idx="2">
                  <c:v>0.13</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0%</c:formatCode>
                <c:ptCount val="4"/>
                <c:pt idx="0">
                  <c:v>4.0000000000000022E-2</c:v>
                </c:pt>
                <c:pt idx="1">
                  <c:v>0.14000000000000001</c:v>
                </c:pt>
                <c:pt idx="2">
                  <c:v>1.0000000000000005E-2</c:v>
                </c:pt>
              </c:numCache>
            </c:numRef>
          </c:val>
          <c:smooth val="0"/>
        </c:ser>
        <c:dLbls>
          <c:showLegendKey val="0"/>
          <c:showVal val="1"/>
          <c:showCatName val="0"/>
          <c:showSerName val="0"/>
          <c:showPercent val="0"/>
          <c:showBubbleSize val="0"/>
        </c:dLbls>
        <c:smooth val="0"/>
        <c:axId val="-1629910336"/>
        <c:axId val="-1629910880"/>
      </c:lineChart>
      <c:catAx>
        <c:axId val="-1629910336"/>
        <c:scaling>
          <c:orientation val="minMax"/>
        </c:scaling>
        <c:delete val="0"/>
        <c:axPos val="b"/>
        <c:numFmt formatCode="General" sourceLinked="1"/>
        <c:majorTickMark val="out"/>
        <c:minorTickMark val="none"/>
        <c:tickLblPos val="nextTo"/>
        <c:txPr>
          <a:bodyPr/>
          <a:lstStyle/>
          <a:p>
            <a:pPr>
              <a:defRPr lang="id-ID"/>
            </a:pPr>
            <a:endParaRPr lang="en-US"/>
          </a:p>
        </c:txPr>
        <c:crossAx val="-1629910880"/>
        <c:crosses val="autoZero"/>
        <c:auto val="1"/>
        <c:lblAlgn val="ctr"/>
        <c:lblOffset val="100"/>
        <c:noMultiLvlLbl val="0"/>
      </c:catAx>
      <c:valAx>
        <c:axId val="-1629910880"/>
        <c:scaling>
          <c:orientation val="minMax"/>
          <c:max val="0.32000000000000056"/>
        </c:scaling>
        <c:delete val="0"/>
        <c:axPos val="l"/>
        <c:majorGridlines/>
        <c:numFmt formatCode="0%" sourceLinked="1"/>
        <c:majorTickMark val="out"/>
        <c:minorTickMark val="none"/>
        <c:tickLblPos val="nextTo"/>
        <c:txPr>
          <a:bodyPr/>
          <a:lstStyle/>
          <a:p>
            <a:pPr>
              <a:defRPr lang="id-ID"/>
            </a:pPr>
            <a:endParaRPr lang="en-US"/>
          </a:p>
        </c:txPr>
        <c:crossAx val="-1629910336"/>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RATA - RATA</a:t>
            </a:r>
          </a:p>
        </c:rich>
      </c:tx>
      <c:overlay val="0"/>
    </c:title>
    <c:autoTitleDeleted val="0"/>
    <c:plotArea>
      <c:layout/>
      <c:lineChart>
        <c:grouping val="stacked"/>
        <c:varyColors val="0"/>
        <c:ser>
          <c:idx val="0"/>
          <c:order val="0"/>
          <c:tx>
            <c:strRef>
              <c:f>Sheet1!$B$1</c:f>
              <c:strCache>
                <c:ptCount val="1"/>
                <c:pt idx="0">
                  <c:v>Series 1</c:v>
                </c:pt>
              </c:strCache>
            </c:strRef>
          </c:tx>
          <c:marker>
            <c:symbol val="none"/>
          </c:marker>
          <c:dLbls>
            <c:dLbl>
              <c:idx val="3"/>
              <c:layout>
                <c:manualLayout>
                  <c:x val="-0.12200222368037322"/>
                  <c:y val="-3.968253968253969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id-ID"/>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PT Phapros Tbk</c:v>
                </c:pt>
                <c:pt idx="1">
                  <c:v>PT Industri Jamu &amp; Farmasi Sido Muncul Tbk</c:v>
                </c:pt>
                <c:pt idx="2">
                  <c:v>PT Merck Indonesia</c:v>
                </c:pt>
                <c:pt idx="3">
                  <c:v>PT Pyridam Farma Tbk</c:v>
                </c:pt>
              </c:strCache>
            </c:strRef>
          </c:cat>
          <c:val>
            <c:numRef>
              <c:f>Sheet1!$B$2:$B$5</c:f>
              <c:numCache>
                <c:formatCode>0%</c:formatCode>
                <c:ptCount val="4"/>
                <c:pt idx="0">
                  <c:v>3.0000000000000002E-2</c:v>
                </c:pt>
                <c:pt idx="1">
                  <c:v>0.26</c:v>
                </c:pt>
                <c:pt idx="2">
                  <c:v>0.1</c:v>
                </c:pt>
                <c:pt idx="3">
                  <c:v>6.0000000000000032E-2</c:v>
                </c:pt>
              </c:numCache>
            </c:numRef>
          </c:val>
          <c:smooth val="0"/>
        </c:ser>
        <c:dLbls>
          <c:showLegendKey val="0"/>
          <c:showVal val="1"/>
          <c:showCatName val="0"/>
          <c:showSerName val="0"/>
          <c:showPercent val="0"/>
          <c:showBubbleSize val="0"/>
        </c:dLbls>
        <c:smooth val="0"/>
        <c:axId val="-1629902176"/>
        <c:axId val="-1629901632"/>
      </c:lineChart>
      <c:catAx>
        <c:axId val="-1629902176"/>
        <c:scaling>
          <c:orientation val="minMax"/>
        </c:scaling>
        <c:delete val="0"/>
        <c:axPos val="b"/>
        <c:numFmt formatCode="General" sourceLinked="0"/>
        <c:majorTickMark val="out"/>
        <c:minorTickMark val="none"/>
        <c:tickLblPos val="nextTo"/>
        <c:txPr>
          <a:bodyPr/>
          <a:lstStyle/>
          <a:p>
            <a:pPr>
              <a:defRPr lang="id-ID"/>
            </a:pPr>
            <a:endParaRPr lang="en-US"/>
          </a:p>
        </c:txPr>
        <c:crossAx val="-1629901632"/>
        <c:crosses val="autoZero"/>
        <c:auto val="1"/>
        <c:lblAlgn val="ctr"/>
        <c:lblOffset val="100"/>
        <c:noMultiLvlLbl val="0"/>
      </c:catAx>
      <c:valAx>
        <c:axId val="-1629901632"/>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1629902176"/>
        <c:crosses val="autoZero"/>
        <c:crossBetween val="between"/>
        <c:minorUnit val="1.0000000000000007E-2"/>
      </c:valAx>
    </c:plotArea>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0%</c:formatCode>
                <c:ptCount val="4"/>
                <c:pt idx="0">
                  <c:v>0.12000000000000002</c:v>
                </c:pt>
                <c:pt idx="1">
                  <c:v>7.0000000000000021E-2</c:v>
                </c:pt>
                <c:pt idx="2">
                  <c:v>2.0000000000000011E-2</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0%</c:formatCode>
                <c:ptCount val="4"/>
                <c:pt idx="0">
                  <c:v>0.26</c:v>
                </c:pt>
                <c:pt idx="1">
                  <c:v>0.2900000000000002</c:v>
                </c:pt>
                <c:pt idx="2">
                  <c:v>0.36000000000000021</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0%</c:formatCode>
                <c:ptCount val="4"/>
                <c:pt idx="0">
                  <c:v>3.0000000000000002E-2</c:v>
                </c:pt>
                <c:pt idx="1">
                  <c:v>3.0000000000000002E-2</c:v>
                </c:pt>
                <c:pt idx="2">
                  <c:v>6.0000000000000032E-2</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0%</c:formatCode>
                <c:ptCount val="4"/>
                <c:pt idx="0">
                  <c:v>6.0000000000000032E-2</c:v>
                </c:pt>
                <c:pt idx="1">
                  <c:v>0.2100000000000001</c:v>
                </c:pt>
                <c:pt idx="2">
                  <c:v>6.0000000000000032E-2</c:v>
                </c:pt>
              </c:numCache>
            </c:numRef>
          </c:val>
          <c:smooth val="0"/>
        </c:ser>
        <c:dLbls>
          <c:showLegendKey val="0"/>
          <c:showVal val="1"/>
          <c:showCatName val="0"/>
          <c:showSerName val="0"/>
          <c:showPercent val="0"/>
          <c:showBubbleSize val="0"/>
        </c:dLbls>
        <c:smooth val="0"/>
        <c:axId val="-1629907072"/>
        <c:axId val="-1629911424"/>
      </c:lineChart>
      <c:catAx>
        <c:axId val="-1629907072"/>
        <c:scaling>
          <c:orientation val="minMax"/>
        </c:scaling>
        <c:delete val="0"/>
        <c:axPos val="b"/>
        <c:numFmt formatCode="General" sourceLinked="1"/>
        <c:majorTickMark val="out"/>
        <c:minorTickMark val="none"/>
        <c:tickLblPos val="nextTo"/>
        <c:txPr>
          <a:bodyPr/>
          <a:lstStyle/>
          <a:p>
            <a:pPr>
              <a:defRPr lang="id-ID"/>
            </a:pPr>
            <a:endParaRPr lang="en-US"/>
          </a:p>
        </c:txPr>
        <c:crossAx val="-1629911424"/>
        <c:crosses val="autoZero"/>
        <c:auto val="1"/>
        <c:lblAlgn val="ctr"/>
        <c:lblOffset val="100"/>
        <c:noMultiLvlLbl val="0"/>
      </c:catAx>
      <c:valAx>
        <c:axId val="-1629911424"/>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1629907072"/>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RATA - RATA</a:t>
            </a:r>
          </a:p>
        </c:rich>
      </c:tx>
      <c:overlay val="0"/>
    </c:title>
    <c:autoTitleDeleted val="0"/>
    <c:plotArea>
      <c:layout/>
      <c:lineChart>
        <c:grouping val="stacked"/>
        <c:varyColors val="0"/>
        <c:ser>
          <c:idx val="0"/>
          <c:order val="0"/>
          <c:tx>
            <c:strRef>
              <c:f>Sheet1!$B$1</c:f>
              <c:strCache>
                <c:ptCount val="1"/>
                <c:pt idx="0">
                  <c:v>Series 1</c:v>
                </c:pt>
              </c:strCache>
            </c:strRef>
          </c:tx>
          <c:marker>
            <c:symbol val="none"/>
          </c:marker>
          <c:dLbls>
            <c:dLbl>
              <c:idx val="3"/>
              <c:layout>
                <c:manualLayout>
                  <c:x val="-0.12200222368037322"/>
                  <c:y val="-3.968253968253969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id-ID"/>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PT Phapros Tbk</c:v>
                </c:pt>
                <c:pt idx="1">
                  <c:v>PT Industri Jamu &amp; Farmasi Sido Muncul Tbk</c:v>
                </c:pt>
                <c:pt idx="2">
                  <c:v>PT Merck Indonesia</c:v>
                </c:pt>
                <c:pt idx="3">
                  <c:v>PT Pyridam Farma Tbk</c:v>
                </c:pt>
              </c:strCache>
            </c:strRef>
          </c:cat>
          <c:val>
            <c:numRef>
              <c:f>Sheet1!$B$2:$B$5</c:f>
              <c:numCache>
                <c:formatCode>0%</c:formatCode>
                <c:ptCount val="4"/>
                <c:pt idx="0">
                  <c:v>7.0000000000000021E-2</c:v>
                </c:pt>
                <c:pt idx="1">
                  <c:v>0.30000000000000021</c:v>
                </c:pt>
                <c:pt idx="2">
                  <c:v>4.0000000000000022E-2</c:v>
                </c:pt>
                <c:pt idx="3">
                  <c:v>0.11</c:v>
                </c:pt>
              </c:numCache>
            </c:numRef>
          </c:val>
          <c:smooth val="0"/>
        </c:ser>
        <c:dLbls>
          <c:showLegendKey val="0"/>
          <c:showVal val="1"/>
          <c:showCatName val="0"/>
          <c:showSerName val="0"/>
          <c:showPercent val="0"/>
          <c:showBubbleSize val="0"/>
        </c:dLbls>
        <c:smooth val="0"/>
        <c:axId val="-1629906528"/>
        <c:axId val="-1629905984"/>
      </c:lineChart>
      <c:catAx>
        <c:axId val="-1629906528"/>
        <c:scaling>
          <c:orientation val="minMax"/>
        </c:scaling>
        <c:delete val="0"/>
        <c:axPos val="b"/>
        <c:numFmt formatCode="General" sourceLinked="0"/>
        <c:majorTickMark val="out"/>
        <c:minorTickMark val="none"/>
        <c:tickLblPos val="nextTo"/>
        <c:txPr>
          <a:bodyPr/>
          <a:lstStyle/>
          <a:p>
            <a:pPr>
              <a:defRPr lang="id-ID"/>
            </a:pPr>
            <a:endParaRPr lang="en-US"/>
          </a:p>
        </c:txPr>
        <c:crossAx val="-1629905984"/>
        <c:crosses val="autoZero"/>
        <c:auto val="1"/>
        <c:lblAlgn val="ctr"/>
        <c:lblOffset val="100"/>
        <c:noMultiLvlLbl val="0"/>
      </c:catAx>
      <c:valAx>
        <c:axId val="-1629905984"/>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1629906528"/>
        <c:crosses val="autoZero"/>
        <c:crossBetween val="between"/>
        <c:minorUnit val="1.0000000000000007E-2"/>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General</c:formatCode>
                <c:ptCount val="4"/>
                <c:pt idx="0">
                  <c:v>0.72000000000000042</c:v>
                </c:pt>
                <c:pt idx="1">
                  <c:v>0.5700000000000004</c:v>
                </c:pt>
                <c:pt idx="2">
                  <c:v>0.8</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General</c:formatCode>
                <c:ptCount val="4"/>
                <c:pt idx="0">
                  <c:v>3.46</c:v>
                </c:pt>
                <c:pt idx="1">
                  <c:v>3.11</c:v>
                </c:pt>
                <c:pt idx="2">
                  <c:v>3.29</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General</c:formatCode>
                <c:ptCount val="4"/>
                <c:pt idx="0">
                  <c:v>1.6300000000000001</c:v>
                </c:pt>
                <c:pt idx="1">
                  <c:v>1.35</c:v>
                </c:pt>
                <c:pt idx="2">
                  <c:v>1.76</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General</c:formatCode>
                <c:ptCount val="4"/>
                <c:pt idx="0">
                  <c:v>1.9000000000000001</c:v>
                </c:pt>
                <c:pt idx="1">
                  <c:v>1.74</c:v>
                </c:pt>
                <c:pt idx="2">
                  <c:v>0.71000000000000041</c:v>
                </c:pt>
              </c:numCache>
            </c:numRef>
          </c:val>
          <c:smooth val="0"/>
        </c:ser>
        <c:ser>
          <c:idx val="4"/>
          <c:order val="4"/>
          <c:tx>
            <c:strRef>
              <c:f>Sheet1!$F$1</c:f>
              <c:strCache>
                <c:ptCount val="1"/>
                <c:pt idx="0">
                  <c:v>Column1</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Sheet1!$F$2:$F$5</c:f>
              <c:numCache>
                <c:formatCode>General</c:formatCode>
                <c:ptCount val="4"/>
              </c:numCache>
            </c:numRef>
          </c:val>
          <c:smooth val="0"/>
        </c:ser>
        <c:dLbls>
          <c:showLegendKey val="0"/>
          <c:showVal val="1"/>
          <c:showCatName val="0"/>
          <c:showSerName val="0"/>
          <c:showPercent val="0"/>
          <c:showBubbleSize val="0"/>
        </c:dLbls>
        <c:smooth val="0"/>
        <c:axId val="-1631423520"/>
        <c:axId val="-1631422432"/>
      </c:lineChart>
      <c:catAx>
        <c:axId val="-1631423520"/>
        <c:scaling>
          <c:orientation val="minMax"/>
        </c:scaling>
        <c:delete val="0"/>
        <c:axPos val="b"/>
        <c:numFmt formatCode="General" sourceLinked="1"/>
        <c:majorTickMark val="out"/>
        <c:minorTickMark val="none"/>
        <c:tickLblPos val="nextTo"/>
        <c:txPr>
          <a:bodyPr/>
          <a:lstStyle/>
          <a:p>
            <a:pPr>
              <a:defRPr lang="id-ID"/>
            </a:pPr>
            <a:endParaRPr lang="en-US"/>
          </a:p>
        </c:txPr>
        <c:crossAx val="-1631422432"/>
        <c:crosses val="autoZero"/>
        <c:auto val="1"/>
        <c:lblAlgn val="ctr"/>
        <c:lblOffset val="100"/>
        <c:noMultiLvlLbl val="0"/>
      </c:catAx>
      <c:valAx>
        <c:axId val="-1631422432"/>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631423520"/>
        <c:crosses val="autoZero"/>
        <c:crossBetween val="between"/>
      </c:valAx>
    </c:plotArea>
    <c:legend>
      <c:legendPos val="r"/>
      <c:legendEntry>
        <c:idx val="4"/>
        <c:delete val="1"/>
      </c:legendEntry>
      <c:overlay val="0"/>
      <c:txPr>
        <a:bodyPr/>
        <a:lstStyle/>
        <a:p>
          <a:pPr>
            <a:defRPr lang="id-ID"/>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General</c:formatCode>
                <c:ptCount val="4"/>
                <c:pt idx="0">
                  <c:v>196</c:v>
                </c:pt>
                <c:pt idx="1">
                  <c:v>170</c:v>
                </c:pt>
                <c:pt idx="2">
                  <c:v>152</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General</c:formatCode>
                <c:ptCount val="4"/>
                <c:pt idx="0">
                  <c:v>33</c:v>
                </c:pt>
                <c:pt idx="1">
                  <c:v>73</c:v>
                </c:pt>
                <c:pt idx="2">
                  <c:v>61</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General</c:formatCode>
                <c:ptCount val="4"/>
                <c:pt idx="0">
                  <c:v>94</c:v>
                </c:pt>
                <c:pt idx="1">
                  <c:v>114</c:v>
                </c:pt>
                <c:pt idx="2">
                  <c:v>78</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General</c:formatCode>
                <c:ptCount val="4"/>
                <c:pt idx="0">
                  <c:v>62</c:v>
                </c:pt>
                <c:pt idx="1">
                  <c:v>79</c:v>
                </c:pt>
                <c:pt idx="2">
                  <c:v>58</c:v>
                </c:pt>
              </c:numCache>
            </c:numRef>
          </c:val>
          <c:smooth val="0"/>
        </c:ser>
        <c:dLbls>
          <c:showLegendKey val="0"/>
          <c:showVal val="1"/>
          <c:showCatName val="0"/>
          <c:showSerName val="0"/>
          <c:showPercent val="0"/>
          <c:showBubbleSize val="0"/>
        </c:dLbls>
        <c:smooth val="0"/>
        <c:axId val="-1631421888"/>
        <c:axId val="-1631420800"/>
      </c:lineChart>
      <c:catAx>
        <c:axId val="-1631421888"/>
        <c:scaling>
          <c:orientation val="minMax"/>
        </c:scaling>
        <c:delete val="0"/>
        <c:axPos val="b"/>
        <c:numFmt formatCode="General" sourceLinked="1"/>
        <c:majorTickMark val="out"/>
        <c:minorTickMark val="none"/>
        <c:tickLblPos val="nextTo"/>
        <c:txPr>
          <a:bodyPr/>
          <a:lstStyle/>
          <a:p>
            <a:pPr>
              <a:defRPr lang="id-ID"/>
            </a:pPr>
            <a:endParaRPr lang="en-US"/>
          </a:p>
        </c:txPr>
        <c:crossAx val="-1631420800"/>
        <c:crosses val="autoZero"/>
        <c:auto val="1"/>
        <c:lblAlgn val="ctr"/>
        <c:lblOffset val="100"/>
        <c:noMultiLvlLbl val="0"/>
      </c:catAx>
      <c:valAx>
        <c:axId val="-1631420800"/>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631421888"/>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General</c:formatCode>
                <c:ptCount val="4"/>
                <c:pt idx="0">
                  <c:v>1.37</c:v>
                </c:pt>
                <c:pt idx="1">
                  <c:v>1.1800000000000008</c:v>
                </c:pt>
                <c:pt idx="2">
                  <c:v>1.56</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General</c:formatCode>
                <c:ptCount val="4"/>
                <c:pt idx="0">
                  <c:v>4.63</c:v>
                </c:pt>
                <c:pt idx="1">
                  <c:v>4.84</c:v>
                </c:pt>
                <c:pt idx="2">
                  <c:v>3.8099999999999987</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General</c:formatCode>
                <c:ptCount val="4"/>
                <c:pt idx="0">
                  <c:v>1.8</c:v>
                </c:pt>
                <c:pt idx="1">
                  <c:v>1.3</c:v>
                </c:pt>
                <c:pt idx="2">
                  <c:v>2.4</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General</c:formatCode>
                <c:ptCount val="4"/>
                <c:pt idx="0">
                  <c:v>2.4099999999999997</c:v>
                </c:pt>
                <c:pt idx="1">
                  <c:v>2.2200000000000002</c:v>
                </c:pt>
                <c:pt idx="2">
                  <c:v>2.64</c:v>
                </c:pt>
              </c:numCache>
            </c:numRef>
          </c:val>
          <c:smooth val="0"/>
        </c:ser>
        <c:dLbls>
          <c:showLegendKey val="0"/>
          <c:showVal val="1"/>
          <c:showCatName val="0"/>
          <c:showSerName val="0"/>
          <c:showPercent val="0"/>
          <c:showBubbleSize val="0"/>
        </c:dLbls>
        <c:smooth val="0"/>
        <c:axId val="-1631415360"/>
        <c:axId val="-1631420256"/>
      </c:lineChart>
      <c:catAx>
        <c:axId val="-1631415360"/>
        <c:scaling>
          <c:orientation val="minMax"/>
        </c:scaling>
        <c:delete val="0"/>
        <c:axPos val="b"/>
        <c:numFmt formatCode="General" sourceLinked="1"/>
        <c:majorTickMark val="out"/>
        <c:minorTickMark val="none"/>
        <c:tickLblPos val="nextTo"/>
        <c:txPr>
          <a:bodyPr/>
          <a:lstStyle/>
          <a:p>
            <a:pPr>
              <a:defRPr lang="id-ID"/>
            </a:pPr>
            <a:endParaRPr lang="en-US"/>
          </a:p>
        </c:txPr>
        <c:crossAx val="-1631420256"/>
        <c:crosses val="autoZero"/>
        <c:auto val="1"/>
        <c:lblAlgn val="ctr"/>
        <c:lblOffset val="100"/>
        <c:noMultiLvlLbl val="0"/>
      </c:catAx>
      <c:valAx>
        <c:axId val="-163142025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63141536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General</c:formatCode>
                <c:ptCount val="4"/>
                <c:pt idx="0">
                  <c:v>1.71</c:v>
                </c:pt>
                <c:pt idx="1">
                  <c:v>1.5</c:v>
                </c:pt>
                <c:pt idx="2">
                  <c:v>1.7</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General</c:formatCode>
                <c:ptCount val="4"/>
                <c:pt idx="0">
                  <c:v>1.9300000000000008</c:v>
                </c:pt>
                <c:pt idx="1">
                  <c:v>2.12</c:v>
                </c:pt>
                <c:pt idx="2">
                  <c:v>2.5299999999999998</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General</c:formatCode>
                <c:ptCount val="4"/>
                <c:pt idx="0">
                  <c:v>3.3</c:v>
                </c:pt>
                <c:pt idx="1">
                  <c:v>2.6</c:v>
                </c:pt>
                <c:pt idx="2">
                  <c:v>4.0999999999999996</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General</c:formatCode>
                <c:ptCount val="4"/>
                <c:pt idx="0">
                  <c:v>2.6</c:v>
                </c:pt>
                <c:pt idx="1">
                  <c:v>2.79</c:v>
                </c:pt>
                <c:pt idx="2">
                  <c:v>1.31</c:v>
                </c:pt>
              </c:numCache>
            </c:numRef>
          </c:val>
          <c:smooth val="0"/>
        </c:ser>
        <c:dLbls>
          <c:showLegendKey val="0"/>
          <c:showVal val="1"/>
          <c:showCatName val="0"/>
          <c:showSerName val="0"/>
          <c:showPercent val="0"/>
          <c:showBubbleSize val="0"/>
        </c:dLbls>
        <c:smooth val="0"/>
        <c:axId val="-1631419712"/>
        <c:axId val="-1631419168"/>
      </c:lineChart>
      <c:catAx>
        <c:axId val="-1631419712"/>
        <c:scaling>
          <c:orientation val="minMax"/>
        </c:scaling>
        <c:delete val="0"/>
        <c:axPos val="b"/>
        <c:numFmt formatCode="General" sourceLinked="1"/>
        <c:majorTickMark val="out"/>
        <c:minorTickMark val="none"/>
        <c:tickLblPos val="nextTo"/>
        <c:txPr>
          <a:bodyPr/>
          <a:lstStyle/>
          <a:p>
            <a:pPr>
              <a:defRPr lang="id-ID"/>
            </a:pPr>
            <a:endParaRPr lang="en-US"/>
          </a:p>
        </c:txPr>
        <c:crossAx val="-1631419168"/>
        <c:crosses val="autoZero"/>
        <c:auto val="1"/>
        <c:lblAlgn val="ctr"/>
        <c:lblOffset val="100"/>
        <c:noMultiLvlLbl val="0"/>
      </c:catAx>
      <c:valAx>
        <c:axId val="-1631419168"/>
        <c:scaling>
          <c:orientation val="minMax"/>
          <c:max val="3"/>
        </c:scaling>
        <c:delete val="0"/>
        <c:axPos val="l"/>
        <c:majorGridlines/>
        <c:numFmt formatCode="General" sourceLinked="1"/>
        <c:majorTickMark val="out"/>
        <c:minorTickMark val="none"/>
        <c:tickLblPos val="nextTo"/>
        <c:txPr>
          <a:bodyPr/>
          <a:lstStyle/>
          <a:p>
            <a:pPr>
              <a:defRPr lang="id-ID"/>
            </a:pPr>
            <a:endParaRPr lang="en-US"/>
          </a:p>
        </c:txPr>
        <c:crossAx val="-1631419712"/>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a:t>RATA-RATA</a:t>
            </a:r>
            <a:endParaRPr lang="en-US"/>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PT Phapros Tbk</c:v>
                </c:pt>
                <c:pt idx="1">
                  <c:v>PT Industri Jamu dan Farmasi Sido Muncul</c:v>
                </c:pt>
                <c:pt idx="2">
                  <c:v>PT Merck Indonesia Tbk</c:v>
                </c:pt>
                <c:pt idx="3">
                  <c:v>PT Pyridam Farma Tbk</c:v>
                </c:pt>
              </c:strCache>
            </c:strRef>
          </c:cat>
          <c:val>
            <c:numRef>
              <c:f>Sheet1!$B$2:$B$5</c:f>
              <c:numCache>
                <c:formatCode>General</c:formatCode>
                <c:ptCount val="4"/>
                <c:pt idx="0">
                  <c:v>1.6300000000000001</c:v>
                </c:pt>
                <c:pt idx="1">
                  <c:v>2.19</c:v>
                </c:pt>
                <c:pt idx="2">
                  <c:v>3.3299999999999992</c:v>
                </c:pt>
                <c:pt idx="3">
                  <c:v>2.23</c:v>
                </c:pt>
              </c:numCache>
            </c:numRef>
          </c:val>
          <c:smooth val="0"/>
        </c:ser>
        <c:dLbls>
          <c:showLegendKey val="0"/>
          <c:showVal val="1"/>
          <c:showCatName val="0"/>
          <c:showSerName val="0"/>
          <c:showPercent val="0"/>
          <c:showBubbleSize val="0"/>
        </c:dLbls>
        <c:smooth val="0"/>
        <c:axId val="-1631418624"/>
        <c:axId val="-1631418080"/>
      </c:lineChart>
      <c:catAx>
        <c:axId val="-1631418624"/>
        <c:scaling>
          <c:orientation val="minMax"/>
        </c:scaling>
        <c:delete val="0"/>
        <c:axPos val="b"/>
        <c:numFmt formatCode="General" sourceLinked="0"/>
        <c:majorTickMark val="out"/>
        <c:minorTickMark val="none"/>
        <c:tickLblPos val="nextTo"/>
        <c:txPr>
          <a:bodyPr/>
          <a:lstStyle/>
          <a:p>
            <a:pPr>
              <a:defRPr lang="id-ID"/>
            </a:pPr>
            <a:endParaRPr lang="en-US"/>
          </a:p>
        </c:txPr>
        <c:crossAx val="-1631418080"/>
        <c:crosses val="autoZero"/>
        <c:auto val="1"/>
        <c:lblAlgn val="ctr"/>
        <c:lblOffset val="100"/>
        <c:noMultiLvlLbl val="0"/>
      </c:catAx>
      <c:valAx>
        <c:axId val="-1631418080"/>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6314186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General</c:formatCode>
                <c:ptCount val="4"/>
                <c:pt idx="0">
                  <c:v>0.52</c:v>
                </c:pt>
                <c:pt idx="1">
                  <c:v>0.51</c:v>
                </c:pt>
                <c:pt idx="2">
                  <c:v>0.5700000000000004</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General</c:formatCode>
                <c:ptCount val="4"/>
                <c:pt idx="0">
                  <c:v>0.86000000000000043</c:v>
                </c:pt>
                <c:pt idx="1">
                  <c:v>0.8</c:v>
                </c:pt>
                <c:pt idx="2">
                  <c:v>0.98</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General</c:formatCode>
                <c:ptCount val="4"/>
                <c:pt idx="0">
                  <c:v>0.8</c:v>
                </c:pt>
                <c:pt idx="1">
                  <c:v>0.7000000000000004</c:v>
                </c:pt>
                <c:pt idx="2">
                  <c:v>1.3</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General</c:formatCode>
                <c:ptCount val="4"/>
              </c:numCache>
            </c:numRef>
          </c:val>
          <c:smooth val="0"/>
        </c:ser>
        <c:dLbls>
          <c:showLegendKey val="0"/>
          <c:showVal val="1"/>
          <c:showCatName val="0"/>
          <c:showSerName val="0"/>
          <c:showPercent val="0"/>
          <c:showBubbleSize val="0"/>
        </c:dLbls>
        <c:smooth val="0"/>
        <c:axId val="-1631417536"/>
        <c:axId val="-11738672"/>
      </c:lineChart>
      <c:catAx>
        <c:axId val="-1631417536"/>
        <c:scaling>
          <c:orientation val="minMax"/>
        </c:scaling>
        <c:delete val="0"/>
        <c:axPos val="b"/>
        <c:numFmt formatCode="General" sourceLinked="1"/>
        <c:majorTickMark val="out"/>
        <c:minorTickMark val="none"/>
        <c:tickLblPos val="nextTo"/>
        <c:txPr>
          <a:bodyPr/>
          <a:lstStyle/>
          <a:p>
            <a:pPr>
              <a:defRPr lang="id-ID"/>
            </a:pPr>
            <a:endParaRPr lang="en-US"/>
          </a:p>
        </c:txPr>
        <c:crossAx val="-11738672"/>
        <c:crosses val="autoZero"/>
        <c:auto val="1"/>
        <c:lblAlgn val="ctr"/>
        <c:lblOffset val="100"/>
        <c:noMultiLvlLbl val="0"/>
      </c:catAx>
      <c:valAx>
        <c:axId val="-11738672"/>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1631417536"/>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Phapros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Sheet1!$B$2:$B$5</c:f>
              <c:numCache>
                <c:formatCode>0%</c:formatCode>
                <c:ptCount val="4"/>
                <c:pt idx="0">
                  <c:v>0.60000000000000042</c:v>
                </c:pt>
                <c:pt idx="1">
                  <c:v>0.61000000000000043</c:v>
                </c:pt>
                <c:pt idx="2">
                  <c:v>0.59</c:v>
                </c:pt>
              </c:numCache>
            </c:numRef>
          </c:val>
          <c:smooth val="0"/>
        </c:ser>
        <c:ser>
          <c:idx val="1"/>
          <c:order val="1"/>
          <c:tx>
            <c:strRef>
              <c:f>Sheet1!$C$1</c:f>
              <c:strCache>
                <c:ptCount val="1"/>
                <c:pt idx="0">
                  <c:v>PT Industri Jamu &amp; Farmasi Sido Muncul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Sheet1!$C$2:$C$5</c:f>
              <c:numCache>
                <c:formatCode>0%</c:formatCode>
                <c:ptCount val="4"/>
                <c:pt idx="0">
                  <c:v>7.0000000000000021E-2</c:v>
                </c:pt>
                <c:pt idx="1">
                  <c:v>9.0000000000000024E-2</c:v>
                </c:pt>
                <c:pt idx="2">
                  <c:v>9.0000000000000024E-2</c:v>
                </c:pt>
              </c:numCache>
            </c:numRef>
          </c:val>
          <c:smooth val="0"/>
        </c:ser>
        <c:ser>
          <c:idx val="2"/>
          <c:order val="2"/>
          <c:tx>
            <c:strRef>
              <c:f>Sheet1!$D$1</c:f>
              <c:strCache>
                <c:ptCount val="1"/>
                <c:pt idx="0">
                  <c:v>PT  Merck Indonesia</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Sheet1!$D$2:$D$5</c:f>
              <c:numCache>
                <c:formatCode>0%</c:formatCode>
                <c:ptCount val="4"/>
                <c:pt idx="0">
                  <c:v>0.34</c:v>
                </c:pt>
                <c:pt idx="1">
                  <c:v>0.34</c:v>
                </c:pt>
                <c:pt idx="2">
                  <c:v>0.33000000000000035</c:v>
                </c:pt>
              </c:numCache>
            </c:numRef>
          </c:val>
          <c:smooth val="0"/>
        </c:ser>
        <c:ser>
          <c:idx val="3"/>
          <c:order val="3"/>
          <c:tx>
            <c:strRef>
              <c:f>Sheet1!$E$1</c:f>
              <c:strCache>
                <c:ptCount val="1"/>
                <c:pt idx="0">
                  <c:v>PT  Pyridam Farma Tbk</c:v>
                </c:pt>
              </c:strCache>
            </c:strRef>
          </c:tx>
          <c:marker>
            <c:symbol val="none"/>
          </c:marker>
          <c:dLbls>
            <c:spPr>
              <a:noFill/>
              <a:ln>
                <a:noFill/>
              </a:ln>
              <a:effectLst/>
            </c:spPr>
            <c:txPr>
              <a:bodyPr/>
              <a:lstStyle/>
              <a:p>
                <a:pPr>
                  <a:defRPr lang="id-ID"/>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2019</c:v>
                </c:pt>
                <c:pt idx="1">
                  <c:v>2020</c:v>
                </c:pt>
                <c:pt idx="2">
                  <c:v>2021</c:v>
                </c:pt>
              </c:numCache>
            </c:numRef>
          </c:cat>
          <c:val>
            <c:numRef>
              <c:f>Sheet1!$E$2:$E$5</c:f>
              <c:numCache>
                <c:formatCode>0%</c:formatCode>
                <c:ptCount val="4"/>
                <c:pt idx="0">
                  <c:v>0.34</c:v>
                </c:pt>
                <c:pt idx="1">
                  <c:v>0.31000000000000022</c:v>
                </c:pt>
                <c:pt idx="2">
                  <c:v>0.79</c:v>
                </c:pt>
              </c:numCache>
            </c:numRef>
          </c:val>
          <c:smooth val="0"/>
        </c:ser>
        <c:dLbls>
          <c:showLegendKey val="0"/>
          <c:showVal val="1"/>
          <c:showCatName val="0"/>
          <c:showSerName val="0"/>
          <c:showPercent val="0"/>
          <c:showBubbleSize val="0"/>
        </c:dLbls>
        <c:smooth val="0"/>
        <c:axId val="-1759810000"/>
        <c:axId val="-2002074528"/>
      </c:lineChart>
      <c:catAx>
        <c:axId val="-1759810000"/>
        <c:scaling>
          <c:orientation val="minMax"/>
        </c:scaling>
        <c:delete val="0"/>
        <c:axPos val="b"/>
        <c:numFmt formatCode="General" sourceLinked="1"/>
        <c:majorTickMark val="out"/>
        <c:minorTickMark val="none"/>
        <c:tickLblPos val="nextTo"/>
        <c:txPr>
          <a:bodyPr/>
          <a:lstStyle/>
          <a:p>
            <a:pPr>
              <a:defRPr lang="id-ID"/>
            </a:pPr>
            <a:endParaRPr lang="en-US"/>
          </a:p>
        </c:txPr>
        <c:crossAx val="-2002074528"/>
        <c:crosses val="autoZero"/>
        <c:auto val="1"/>
        <c:lblAlgn val="ctr"/>
        <c:lblOffset val="100"/>
        <c:noMultiLvlLbl val="0"/>
      </c:catAx>
      <c:valAx>
        <c:axId val="-2002074528"/>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1759810000"/>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a:pPr>
            <a:r>
              <a:rPr lang="id-ID"/>
              <a:t>RATA - RATA</a:t>
            </a:r>
          </a:p>
        </c:rich>
      </c:tx>
      <c:overlay val="0"/>
    </c:title>
    <c:autoTitleDeleted val="0"/>
    <c:plotArea>
      <c:layout/>
      <c:lineChart>
        <c:grouping val="stacked"/>
        <c:varyColors val="0"/>
        <c:ser>
          <c:idx val="0"/>
          <c:order val="0"/>
          <c:tx>
            <c:strRef>
              <c:f>Sheet1!$B$1</c:f>
              <c:strCache>
                <c:ptCount val="1"/>
                <c:pt idx="0">
                  <c:v>Series 1</c:v>
                </c:pt>
              </c:strCache>
            </c:strRef>
          </c:tx>
          <c:marker>
            <c:symbol val="none"/>
          </c:marker>
          <c:dLbls>
            <c:dLbl>
              <c:idx val="3"/>
              <c:layout>
                <c:manualLayout>
                  <c:x val="-0.12200222368037322"/>
                  <c:y val="-3.968253968253969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id-ID"/>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PT Phapros Tbk</c:v>
                </c:pt>
                <c:pt idx="1">
                  <c:v>PT Industri Jamu &amp; Farmasi Sido Muncul Tbk</c:v>
                </c:pt>
                <c:pt idx="2">
                  <c:v>PT Merck Indonesia</c:v>
                </c:pt>
                <c:pt idx="3">
                  <c:v>PT Pyridam Farma Tbk</c:v>
                </c:pt>
              </c:strCache>
            </c:strRef>
          </c:cat>
          <c:val>
            <c:numRef>
              <c:f>Sheet1!$B$2:$B$5</c:f>
              <c:numCache>
                <c:formatCode>0%</c:formatCode>
                <c:ptCount val="4"/>
                <c:pt idx="0">
                  <c:v>0.6000000000000002</c:v>
                </c:pt>
                <c:pt idx="1">
                  <c:v>8.3300000000000041E-2</c:v>
                </c:pt>
                <c:pt idx="2">
                  <c:v>0.33670000000000011</c:v>
                </c:pt>
                <c:pt idx="3">
                  <c:v>0.4830000000000001</c:v>
                </c:pt>
              </c:numCache>
            </c:numRef>
          </c:val>
          <c:smooth val="0"/>
        </c:ser>
        <c:dLbls>
          <c:showLegendKey val="0"/>
          <c:showVal val="1"/>
          <c:showCatName val="0"/>
          <c:showSerName val="0"/>
          <c:showPercent val="0"/>
          <c:showBubbleSize val="0"/>
        </c:dLbls>
        <c:smooth val="0"/>
        <c:axId val="-1969705376"/>
        <c:axId val="-1629903264"/>
      </c:lineChart>
      <c:catAx>
        <c:axId val="-1969705376"/>
        <c:scaling>
          <c:orientation val="minMax"/>
        </c:scaling>
        <c:delete val="0"/>
        <c:axPos val="b"/>
        <c:numFmt formatCode="General" sourceLinked="0"/>
        <c:majorTickMark val="out"/>
        <c:minorTickMark val="none"/>
        <c:tickLblPos val="nextTo"/>
        <c:txPr>
          <a:bodyPr/>
          <a:lstStyle/>
          <a:p>
            <a:pPr>
              <a:defRPr lang="id-ID"/>
            </a:pPr>
            <a:endParaRPr lang="en-US"/>
          </a:p>
        </c:txPr>
        <c:crossAx val="-1629903264"/>
        <c:crosses val="autoZero"/>
        <c:auto val="1"/>
        <c:lblAlgn val="ctr"/>
        <c:lblOffset val="100"/>
        <c:noMultiLvlLbl val="0"/>
      </c:catAx>
      <c:valAx>
        <c:axId val="-1629903264"/>
        <c:scaling>
          <c:orientation val="minMax"/>
        </c:scaling>
        <c:delete val="0"/>
        <c:axPos val="l"/>
        <c:majorGridlines/>
        <c:numFmt formatCode="0%" sourceLinked="1"/>
        <c:majorTickMark val="out"/>
        <c:minorTickMark val="none"/>
        <c:tickLblPos val="nextTo"/>
        <c:txPr>
          <a:bodyPr/>
          <a:lstStyle/>
          <a:p>
            <a:pPr>
              <a:defRPr lang="id-ID"/>
            </a:pPr>
            <a:endParaRPr lang="en-US"/>
          </a:p>
        </c:txPr>
        <c:crossAx val="-1969705376"/>
        <c:crosses val="autoZero"/>
        <c:crossBetween val="between"/>
        <c:minorUnit val="1.0000000000000007E-2"/>
      </c:valAx>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3590</Words>
  <Characters>20467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PIC LPKD</cp:lastModifiedBy>
  <cp:revision>2</cp:revision>
  <dcterms:created xsi:type="dcterms:W3CDTF">2022-12-13T17:18:00Z</dcterms:created>
  <dcterms:modified xsi:type="dcterms:W3CDTF">2022-12-13T17:18:00Z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